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8B9D8F">
      <w:pPr>
        <w:jc w:val="center"/>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rPr>
        <w:t>克拉玛依市白碱滩区烟草制品</w:t>
      </w:r>
    </w:p>
    <w:p w14:paraId="43CE2387">
      <w:pPr>
        <w:jc w:val="center"/>
        <w:rPr>
          <w:rFonts w:hint="eastAsia" w:ascii="方正仿宋_GBK" w:hAnsi="方正仿宋_GBK" w:eastAsia="方正仿宋_GBK" w:cs="方正仿宋_GBK"/>
          <w:sz w:val="32"/>
          <w:szCs w:val="32"/>
        </w:rPr>
      </w:pPr>
      <w:r>
        <w:rPr>
          <w:rFonts w:hint="eastAsia" w:ascii="方正小标宋简体" w:hAnsi="方正小标宋简体" w:eastAsia="方正小标宋简体" w:cs="方正小标宋简体"/>
          <w:sz w:val="44"/>
          <w:szCs w:val="44"/>
        </w:rPr>
        <w:t>零售点合理布局规划（草案）</w:t>
      </w:r>
    </w:p>
    <w:p w14:paraId="72A1B0BA">
      <w:pPr>
        <w:rPr>
          <w:rFonts w:hint="eastAsia" w:ascii="方正仿宋_GBK" w:hAnsi="方正仿宋_GBK" w:eastAsia="方正仿宋_GBK" w:cs="方正仿宋_GBK"/>
          <w:sz w:val="32"/>
          <w:szCs w:val="32"/>
        </w:rPr>
      </w:pPr>
    </w:p>
    <w:p w14:paraId="0687CC30">
      <w:pPr>
        <w:jc w:val="center"/>
        <w:rPr>
          <w:rFonts w:hint="eastAsia" w:ascii="方正仿宋_GBK" w:hAnsi="方正仿宋_GBK" w:eastAsia="方正仿宋_GBK" w:cs="方正仿宋_GBK"/>
          <w:sz w:val="32"/>
          <w:szCs w:val="32"/>
        </w:rPr>
      </w:pPr>
      <w:r>
        <w:rPr>
          <w:rFonts w:hint="eastAsia" w:ascii="CESI黑体-GB2312" w:hAnsi="CESI黑体-GB2312" w:eastAsia="CESI黑体-GB2312" w:cs="CESI黑体-GB2312"/>
          <w:sz w:val="32"/>
          <w:szCs w:val="32"/>
        </w:rPr>
        <w:t>第一章 总 则</w:t>
      </w:r>
    </w:p>
    <w:p w14:paraId="528F6AA3">
      <w:pPr>
        <w:ind w:firstLine="643" w:firstLineChars="200"/>
        <w:rPr>
          <w:rFonts w:hint="eastAsia" w:ascii="方正仿宋_GBK" w:hAnsi="方正仿宋_GBK" w:eastAsia="方正仿宋_GBK" w:cs="方正仿宋_GBK"/>
          <w:sz w:val="32"/>
          <w:szCs w:val="32"/>
        </w:rPr>
      </w:pPr>
      <w:r>
        <w:rPr>
          <w:rFonts w:hint="eastAsia" w:ascii="楷体_GB2312" w:eastAsia="楷体_GB2312"/>
          <w:b/>
          <w:bCs/>
          <w:color w:val="auto"/>
          <w:sz w:val="32"/>
          <w:szCs w:val="32"/>
        </w:rPr>
        <w:t>第一条</w:t>
      </w:r>
      <w:r>
        <w:rPr>
          <w:rFonts w:hint="eastAsia" w:ascii="仿宋_GB2312" w:eastAsia="仿宋_GB2312"/>
          <w:b w:val="0"/>
          <w:bCs w:val="0"/>
          <w:color w:val="auto"/>
          <w:sz w:val="32"/>
          <w:szCs w:val="32"/>
        </w:rPr>
        <w:t xml:space="preserve"> </w:t>
      </w:r>
      <w:r>
        <w:rPr>
          <w:rFonts w:hint="eastAsia" w:ascii="仿宋_GB2312" w:eastAsia="仿宋_GB2312"/>
          <w:b w:val="0"/>
          <w:bCs w:val="0"/>
          <w:color w:val="auto"/>
          <w:sz w:val="32"/>
          <w:szCs w:val="32"/>
          <w:lang w:val="en-US" w:eastAsia="zh-CN"/>
        </w:rPr>
        <w:t xml:space="preserve"> </w:t>
      </w:r>
      <w:r>
        <w:rPr>
          <w:rFonts w:hint="eastAsia" w:ascii="仿宋_GB2312" w:eastAsia="仿宋_GB2312"/>
          <w:b w:val="0"/>
          <w:bCs w:val="0"/>
          <w:color w:val="auto"/>
          <w:sz w:val="32"/>
          <w:szCs w:val="32"/>
        </w:rPr>
        <w:t>为加强烟草专卖零售许可证管理，规范烟草制品零售市场经营秩序，维护国家</w:t>
      </w:r>
      <w:r>
        <w:rPr>
          <w:rFonts w:hint="eastAsia" w:ascii="仿宋_GB2312" w:eastAsia="仿宋_GB2312"/>
          <w:b w:val="0"/>
          <w:bCs w:val="0"/>
          <w:color w:val="auto"/>
          <w:sz w:val="32"/>
          <w:szCs w:val="32"/>
          <w:lang w:eastAsia="zh-CN"/>
        </w:rPr>
        <w:t>利益和消费者</w:t>
      </w:r>
      <w:r>
        <w:rPr>
          <w:rFonts w:hint="eastAsia" w:ascii="仿宋_GB2312" w:eastAsia="仿宋_GB2312"/>
          <w:b w:val="0"/>
          <w:bCs w:val="0"/>
          <w:color w:val="auto"/>
          <w:sz w:val="32"/>
          <w:szCs w:val="32"/>
        </w:rPr>
        <w:t>权益，根据《中华人民共和国烟草专卖法》《中华人民共和国行政许可法》《中华人民共和国未成年人保护法》《中华人民共和国烟草专卖法实施条例》《烟草专卖许可证管理办法》</w:t>
      </w:r>
      <w:r>
        <w:rPr>
          <w:rFonts w:hint="eastAsia" w:ascii="仿宋_GB2312" w:eastAsia="仿宋_GB2312"/>
          <w:b w:val="0"/>
          <w:bCs w:val="0"/>
          <w:color w:val="auto"/>
          <w:sz w:val="32"/>
          <w:szCs w:val="32"/>
          <w:lang w:eastAsia="zh-CN"/>
        </w:rPr>
        <w:t>《烟草专卖许可证管理办法实施细则》</w:t>
      </w:r>
      <w:r>
        <w:rPr>
          <w:rFonts w:hint="eastAsia" w:ascii="仿宋_GB2312" w:eastAsia="仿宋_GB2312"/>
          <w:b w:val="0"/>
          <w:bCs w:val="0"/>
          <w:color w:val="auto"/>
          <w:sz w:val="32"/>
          <w:szCs w:val="32"/>
        </w:rPr>
        <w:t>等法律法规规章</w:t>
      </w:r>
      <w:r>
        <w:rPr>
          <w:rFonts w:hint="eastAsia" w:ascii="仿宋_GB2312" w:eastAsia="仿宋_GB2312"/>
          <w:b w:val="0"/>
          <w:bCs w:val="0"/>
          <w:color w:val="auto"/>
          <w:sz w:val="32"/>
          <w:szCs w:val="32"/>
          <w:lang w:eastAsia="zh-CN"/>
        </w:rPr>
        <w:t>和规范性文件的规定</w:t>
      </w:r>
      <w:r>
        <w:rPr>
          <w:rFonts w:hint="eastAsia" w:ascii="仿宋_GB2312" w:eastAsia="仿宋_GB2312"/>
          <w:b w:val="0"/>
          <w:bCs w:val="0"/>
          <w:color w:val="auto"/>
          <w:sz w:val="32"/>
          <w:szCs w:val="32"/>
        </w:rPr>
        <w:t>，结合</w:t>
      </w:r>
      <w:r>
        <w:rPr>
          <w:rFonts w:hint="eastAsia" w:ascii="仿宋_GB2312" w:eastAsia="仿宋_GB2312"/>
          <w:b w:val="0"/>
          <w:bCs w:val="0"/>
          <w:color w:val="auto"/>
          <w:sz w:val="32"/>
          <w:szCs w:val="32"/>
          <w:lang w:eastAsia="zh-CN"/>
        </w:rPr>
        <w:t>辖</w:t>
      </w:r>
      <w:r>
        <w:rPr>
          <w:rFonts w:hint="eastAsia" w:ascii="仿宋_GB2312" w:eastAsia="仿宋_GB2312"/>
          <w:b w:val="0"/>
          <w:bCs w:val="0"/>
          <w:color w:val="auto"/>
          <w:sz w:val="32"/>
          <w:szCs w:val="32"/>
        </w:rPr>
        <w:t>区实际，制定本规划。</w:t>
      </w:r>
    </w:p>
    <w:p w14:paraId="2F177499">
      <w:pPr>
        <w:ind w:firstLine="643" w:firstLineChars="200"/>
        <w:rPr>
          <w:rFonts w:hint="eastAsia" w:ascii="方正仿宋_GBK" w:hAnsi="方正仿宋_GBK" w:eastAsia="方正仿宋_GBK" w:cs="方正仿宋_GBK"/>
          <w:sz w:val="32"/>
          <w:szCs w:val="32"/>
        </w:rPr>
      </w:pPr>
      <w:r>
        <w:rPr>
          <w:rFonts w:hint="eastAsia" w:ascii="楷体_GB2312" w:eastAsia="楷体_GB2312"/>
          <w:b/>
          <w:bCs/>
          <w:color w:val="auto"/>
          <w:sz w:val="32"/>
          <w:szCs w:val="32"/>
        </w:rPr>
        <w:t>第二条</w:t>
      </w:r>
      <w:r>
        <w:rPr>
          <w:rFonts w:hint="eastAsia" w:ascii="仿宋_GB2312" w:eastAsia="仿宋_GB2312"/>
          <w:b w:val="0"/>
          <w:bCs w:val="0"/>
          <w:color w:val="auto"/>
          <w:sz w:val="32"/>
          <w:szCs w:val="32"/>
        </w:rPr>
        <w:t xml:space="preserve"> </w:t>
      </w:r>
      <w:r>
        <w:rPr>
          <w:rFonts w:hint="eastAsia" w:ascii="仿宋_GB2312" w:eastAsia="仿宋_GB2312"/>
          <w:b w:val="0"/>
          <w:bCs w:val="0"/>
          <w:color w:val="auto"/>
          <w:sz w:val="32"/>
          <w:szCs w:val="32"/>
          <w:lang w:val="en-US" w:eastAsia="zh-CN"/>
        </w:rPr>
        <w:t xml:space="preserve"> </w:t>
      </w:r>
      <w:r>
        <w:rPr>
          <w:rFonts w:hint="eastAsia" w:ascii="仿宋_GB2312" w:eastAsia="仿宋_GB2312"/>
          <w:b w:val="0"/>
          <w:bCs w:val="0"/>
          <w:color w:val="auto"/>
          <w:sz w:val="32"/>
          <w:szCs w:val="32"/>
        </w:rPr>
        <w:t>本规定适用于克拉玛依市</w:t>
      </w:r>
      <w:r>
        <w:rPr>
          <w:rFonts w:hint="eastAsia" w:ascii="仿宋_GB2312" w:eastAsia="仿宋_GB2312"/>
          <w:b w:val="0"/>
          <w:bCs w:val="0"/>
          <w:color w:val="auto"/>
          <w:sz w:val="32"/>
          <w:szCs w:val="32"/>
          <w:lang w:eastAsia="zh-CN"/>
        </w:rPr>
        <w:t>白碱滩</w:t>
      </w:r>
      <w:r>
        <w:rPr>
          <w:rFonts w:hint="eastAsia" w:ascii="仿宋_GB2312" w:eastAsia="仿宋_GB2312"/>
          <w:b w:val="0"/>
          <w:bCs w:val="0"/>
          <w:color w:val="auto"/>
          <w:sz w:val="32"/>
          <w:szCs w:val="32"/>
        </w:rPr>
        <w:t>区范围内（含上级主管部门指定管辖区域），许可申请范围为“卷烟本店零售、雪茄烟本店零售”的普通烟草制品零售点设置和管理。仅申请“雪茄烟本店零售”的零售点，按照本规划中雪茄烟</w:t>
      </w:r>
      <w:r>
        <w:rPr>
          <w:rFonts w:hint="eastAsia" w:ascii="仿宋_GB2312" w:eastAsia="仿宋_GB2312"/>
          <w:b w:val="0"/>
          <w:bCs w:val="0"/>
          <w:color w:val="auto"/>
          <w:sz w:val="32"/>
          <w:szCs w:val="32"/>
          <w:lang w:eastAsia="zh-CN"/>
        </w:rPr>
        <w:t>专营店</w:t>
      </w:r>
      <w:r>
        <w:rPr>
          <w:rFonts w:hint="eastAsia" w:ascii="仿宋_GB2312" w:eastAsia="仿宋_GB2312"/>
          <w:b w:val="0"/>
          <w:bCs w:val="0"/>
          <w:color w:val="auto"/>
          <w:sz w:val="32"/>
          <w:szCs w:val="32"/>
        </w:rPr>
        <w:t>布局相关规定执行。</w:t>
      </w:r>
    </w:p>
    <w:p w14:paraId="153E2553">
      <w:pPr>
        <w:ind w:firstLine="643" w:firstLineChars="200"/>
        <w:rPr>
          <w:rFonts w:hint="eastAsia" w:ascii="方正仿宋_GBK" w:hAnsi="方正仿宋_GBK" w:eastAsia="方正仿宋_GBK" w:cs="方正仿宋_GBK"/>
          <w:sz w:val="32"/>
          <w:szCs w:val="32"/>
        </w:rPr>
      </w:pPr>
      <w:r>
        <w:rPr>
          <w:rFonts w:hint="eastAsia" w:ascii="楷体_GB2312" w:eastAsia="楷体_GB2312"/>
          <w:b/>
          <w:bCs/>
          <w:color w:val="auto"/>
          <w:sz w:val="32"/>
          <w:szCs w:val="32"/>
        </w:rPr>
        <w:t>第三条</w:t>
      </w:r>
      <w:r>
        <w:rPr>
          <w:rFonts w:hint="eastAsia" w:ascii="仿宋_GB2312" w:eastAsia="仿宋_GB2312"/>
          <w:b w:val="0"/>
          <w:bCs w:val="0"/>
          <w:color w:val="auto"/>
          <w:sz w:val="32"/>
          <w:szCs w:val="32"/>
        </w:rPr>
        <w:t xml:space="preserve"> </w:t>
      </w:r>
      <w:r>
        <w:rPr>
          <w:rFonts w:hint="eastAsia" w:ascii="仿宋_GB2312" w:eastAsia="仿宋_GB2312"/>
          <w:b w:val="0"/>
          <w:bCs w:val="0"/>
          <w:color w:val="auto"/>
          <w:sz w:val="32"/>
          <w:szCs w:val="32"/>
          <w:lang w:val="en-US" w:eastAsia="zh-CN"/>
        </w:rPr>
        <w:t xml:space="preserve"> </w:t>
      </w:r>
      <w:r>
        <w:rPr>
          <w:rFonts w:hint="eastAsia" w:ascii="仿宋_GB2312" w:eastAsia="仿宋_GB2312"/>
          <w:b w:val="0"/>
          <w:bCs w:val="0"/>
          <w:color w:val="auto"/>
          <w:sz w:val="32"/>
          <w:szCs w:val="32"/>
        </w:rPr>
        <w:t>烟草制品零售点（以下简称零售点）</w:t>
      </w:r>
      <w:r>
        <w:rPr>
          <w:rFonts w:hint="eastAsia" w:ascii="仿宋_GB2312" w:hAnsi="宋体" w:eastAsia="仿宋_GB2312" w:cs="Arial"/>
          <w:b w:val="0"/>
          <w:bCs w:val="0"/>
          <w:color w:val="auto"/>
          <w:sz w:val="32"/>
          <w:szCs w:val="32"/>
        </w:rPr>
        <w:t>是指依法取得烟草专卖零售许可证从事烟草制品零售业务的公民、法人及其他组织开展烟草制品零售业务的固定经营场所。</w:t>
      </w:r>
    </w:p>
    <w:p w14:paraId="4C786D81">
      <w:pPr>
        <w:ind w:firstLine="643" w:firstLineChars="200"/>
        <w:rPr>
          <w:rFonts w:hint="eastAsia" w:ascii="方正仿宋_GBK" w:hAnsi="方正仿宋_GBK" w:eastAsia="方正仿宋_GBK" w:cs="方正仿宋_GBK"/>
          <w:sz w:val="32"/>
          <w:szCs w:val="32"/>
          <w:lang w:val="en-US" w:eastAsia="zh-CN"/>
        </w:rPr>
      </w:pPr>
      <w:r>
        <w:rPr>
          <w:rFonts w:hint="eastAsia" w:ascii="楷体_GB2312" w:eastAsia="楷体_GB2312"/>
          <w:b/>
          <w:bCs/>
          <w:color w:val="auto"/>
          <w:sz w:val="32"/>
          <w:szCs w:val="32"/>
          <w:lang w:val="en-US" w:eastAsia="zh-CN"/>
        </w:rPr>
        <w:t>第四条</w:t>
      </w:r>
      <w:r>
        <w:rPr>
          <w:rFonts w:hint="eastAsia" w:ascii="楷体_GB2312" w:eastAsia="楷体_GB2312"/>
          <w:b w:val="0"/>
          <w:bCs w:val="0"/>
          <w:color w:val="auto"/>
          <w:sz w:val="32"/>
          <w:szCs w:val="32"/>
          <w:lang w:val="en-US" w:eastAsia="zh-CN"/>
        </w:rPr>
        <w:t xml:space="preserve">  </w:t>
      </w:r>
      <w:r>
        <w:rPr>
          <w:rFonts w:hint="eastAsia" w:ascii="仿宋_GB2312" w:eastAsia="仿宋_GB2312"/>
          <w:b w:val="0"/>
          <w:bCs w:val="0"/>
          <w:color w:val="auto"/>
          <w:sz w:val="32"/>
          <w:szCs w:val="32"/>
          <w:lang w:val="en-US" w:eastAsia="zh-CN"/>
        </w:rPr>
        <w:t>烟草制品零售点合理布局遵循依法行政、科学规划、服务社会、均衡发展、尊重历史、方便消费的原则，以较为稳定、相对独立的市场区域为单元，将本辖区划分为社区市场单元、行政（自然）村（连队）市场单元、特殊区域市场单元。根据辖区经济社会发展变化，定期开展评估，实行动态管理。</w:t>
      </w:r>
    </w:p>
    <w:p w14:paraId="673EB796">
      <w:pPr>
        <w:ind w:firstLine="643" w:firstLineChars="200"/>
        <w:rPr>
          <w:rFonts w:hint="eastAsia" w:ascii="方正仿宋_GBK" w:hAnsi="方正仿宋_GBK" w:eastAsia="方正仿宋_GBK" w:cs="方正仿宋_GBK"/>
          <w:sz w:val="32"/>
          <w:szCs w:val="32"/>
          <w:lang w:val="en-US" w:eastAsia="zh-CN"/>
        </w:rPr>
      </w:pPr>
      <w:r>
        <w:rPr>
          <w:rFonts w:hint="eastAsia" w:ascii="仿宋_GB2312" w:eastAsia="仿宋_GB2312"/>
          <w:b/>
          <w:bCs/>
          <w:color w:val="auto"/>
          <w:sz w:val="32"/>
          <w:szCs w:val="32"/>
          <w:lang w:val="en-US" w:eastAsia="zh-CN"/>
        </w:rPr>
        <w:t>第五条</w:t>
      </w:r>
      <w:r>
        <w:rPr>
          <w:rFonts w:hint="eastAsia" w:ascii="仿宋_GB2312" w:eastAsia="仿宋_GB2312"/>
          <w:b w:val="0"/>
          <w:bCs w:val="0"/>
          <w:color w:val="auto"/>
          <w:sz w:val="32"/>
          <w:szCs w:val="32"/>
          <w:lang w:val="en-US" w:eastAsia="zh-CN"/>
        </w:rPr>
        <w:t xml:space="preserve">  烟草专卖行政主管部门可结合实际，综合考量辖区内人口数量、消费需求、经济发展水平等关键因素，科学测算零售点的合理容量，作为辖区零售点设置容量上限，原则上每半年对单元格内零售点合理容量上限进行测算调整，</w:t>
      </w:r>
      <w:r>
        <w:rPr>
          <w:rFonts w:hint="eastAsia" w:ascii="仿宋_GB2312" w:hAnsi="仿宋_GB2312" w:eastAsia="仿宋_GB2312" w:cs="仿宋_GB2312"/>
          <w:color w:val="auto"/>
          <w:sz w:val="32"/>
          <w:szCs w:val="32"/>
        </w:rPr>
        <w:t>并通过办证窗口或新烟政务通</w:t>
      </w:r>
      <w:r>
        <w:rPr>
          <w:rFonts w:hint="eastAsia" w:ascii="仿宋_GB2312" w:hAnsi="仿宋_GB2312" w:eastAsia="仿宋_GB2312" w:cs="仿宋_GB2312"/>
          <w:color w:val="auto"/>
          <w:sz w:val="32"/>
          <w:szCs w:val="32"/>
          <w:lang w:eastAsia="zh-CN"/>
        </w:rPr>
        <w:t>等</w:t>
      </w:r>
      <w:r>
        <w:rPr>
          <w:rFonts w:hint="eastAsia" w:ascii="仿宋_GB2312" w:hAnsi="仿宋_GB2312" w:eastAsia="仿宋_GB2312" w:cs="仿宋_GB2312"/>
          <w:color w:val="auto"/>
          <w:sz w:val="32"/>
          <w:szCs w:val="32"/>
        </w:rPr>
        <w:t>途径</w:t>
      </w:r>
      <w:r>
        <w:rPr>
          <w:rFonts w:hint="eastAsia" w:ascii="仿宋_GB2312" w:hAnsi="仿宋_GB2312" w:eastAsia="仿宋_GB2312" w:cs="仿宋_GB2312"/>
          <w:color w:val="auto"/>
          <w:sz w:val="32"/>
          <w:szCs w:val="32"/>
          <w:lang w:eastAsia="zh-CN"/>
        </w:rPr>
        <w:t>更新</w:t>
      </w:r>
      <w:r>
        <w:rPr>
          <w:rFonts w:hint="eastAsia" w:ascii="仿宋_GB2312" w:hAnsi="仿宋_GB2312" w:eastAsia="仿宋_GB2312" w:cs="仿宋_GB2312"/>
          <w:color w:val="auto"/>
          <w:sz w:val="32"/>
          <w:szCs w:val="32"/>
        </w:rPr>
        <w:t>。</w:t>
      </w:r>
    </w:p>
    <w:p w14:paraId="20BF20A4">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240" w:lineRule="auto"/>
        <w:ind w:firstLine="643"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rPr>
        <w:t>第六条</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val="en-US" w:eastAsia="zh-CN"/>
        </w:rPr>
        <w:t>结合人口分布密度、市场供需状况、消费便利需求等要求，根据不同市场单元实际情况，建立“饱和区、稳定区、发展区”三位一体的分区分类管控体系，实施精准管理。</w:t>
      </w:r>
    </w:p>
    <w:p w14:paraId="1E0D2070">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（一）饱和区。零售点数量达到或超过合理容量上限的市场单元，按照“只退不增”原则优化零售点布局（放宽情形除外），直至该市场单元状态变为稳定状态或发展状态。</w:t>
      </w:r>
    </w:p>
    <w:p w14:paraId="319269A6">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240" w:lineRule="auto"/>
        <w:ind w:firstLine="640" w:firstLineChars="200"/>
        <w:jc w:val="both"/>
        <w:textAlignment w:val="auto"/>
        <w:rPr>
          <w:rFonts w:hint="eastAsia"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val="en-US" w:eastAsia="zh-CN"/>
        </w:rPr>
        <w:t>（二）稳定区。零售点数量接近合理容量上限的市场单元，根据“退一进一”原则设置零售点</w:t>
      </w:r>
      <w:r>
        <w:rPr>
          <w:rFonts w:hint="eastAsia" w:ascii="仿宋_GB2312" w:hAnsi="仿宋_GB2312" w:eastAsia="仿宋_GB2312" w:cs="仿宋_GB2312"/>
          <w:color w:val="auto"/>
          <w:sz w:val="32"/>
          <w:szCs w:val="32"/>
          <w:highlight w:val="none"/>
          <w:lang w:val="en-US" w:eastAsia="zh-CN"/>
        </w:rPr>
        <w:t>（放宽情形除外）</w:t>
      </w:r>
      <w:r>
        <w:rPr>
          <w:rFonts w:hint="eastAsia" w:ascii="仿宋_GB2312" w:eastAsia="仿宋_GB2312"/>
          <w:b w:val="0"/>
          <w:bCs w:val="0"/>
          <w:color w:val="auto"/>
          <w:sz w:val="32"/>
          <w:szCs w:val="32"/>
          <w:lang w:val="en-US" w:eastAsia="zh-CN"/>
        </w:rPr>
        <w:t>。</w:t>
      </w:r>
    </w:p>
    <w:p w14:paraId="29BFC59F">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（三）发展区。零售点数量未达到合理容量上限的市场单元，根据“自然增长”原则设置零售点，不得超过公布周期内新增零售点指导数，直至该市场单元状态变为饱和状态。</w:t>
      </w:r>
    </w:p>
    <w:p w14:paraId="7744242A">
      <w:pPr>
        <w:ind w:firstLine="640" w:firstLineChars="200"/>
        <w:rPr>
          <w:rFonts w:hint="eastAsia" w:ascii="方正仿宋_GBK" w:hAnsi="方正仿宋_GBK" w:eastAsia="方正仿宋_GBK" w:cs="方正仿宋_GBK"/>
          <w:sz w:val="32"/>
          <w:szCs w:val="32"/>
          <w:lang w:val="en-US" w:eastAsia="zh-CN"/>
        </w:rPr>
      </w:pPr>
      <w:r>
        <w:rPr>
          <w:rFonts w:hint="eastAsia" w:ascii="仿宋_GB2312" w:hAnsi="仿宋_GB2312" w:eastAsia="仿宋_GB2312" w:cs="仿宋_GB2312"/>
          <w:color w:val="auto"/>
          <w:sz w:val="32"/>
          <w:szCs w:val="32"/>
          <w:highlight w:val="none"/>
        </w:rPr>
        <w:t>市场单元内零售点数量达到</w:t>
      </w:r>
      <w:r>
        <w:rPr>
          <w:rFonts w:hint="eastAsia" w:ascii="仿宋_GB2312" w:hAnsi="仿宋_GB2312" w:eastAsia="仿宋_GB2312" w:cs="仿宋_GB2312"/>
          <w:color w:val="auto"/>
          <w:sz w:val="32"/>
          <w:szCs w:val="32"/>
          <w:highlight w:val="none"/>
          <w:lang w:eastAsia="zh-CN"/>
        </w:rPr>
        <w:t>合理</w:t>
      </w:r>
      <w:r>
        <w:rPr>
          <w:rFonts w:hint="eastAsia" w:ascii="仿宋_GB2312" w:hAnsi="仿宋_GB2312" w:eastAsia="仿宋_GB2312" w:cs="仿宋_GB2312"/>
          <w:color w:val="auto"/>
          <w:sz w:val="32"/>
          <w:szCs w:val="32"/>
          <w:highlight w:val="none"/>
        </w:rPr>
        <w:t>容量上限</w:t>
      </w:r>
      <w:r>
        <w:rPr>
          <w:rFonts w:hint="eastAsia" w:ascii="仿宋_GB2312" w:hAnsi="仿宋_GB2312" w:eastAsia="仿宋_GB2312" w:cs="仿宋_GB2312"/>
          <w:color w:val="auto"/>
          <w:sz w:val="32"/>
          <w:szCs w:val="32"/>
          <w:highlight w:val="none"/>
          <w:lang w:eastAsia="zh-CN"/>
        </w:rPr>
        <w:t>时</w:t>
      </w:r>
      <w:r>
        <w:rPr>
          <w:rFonts w:hint="eastAsia" w:ascii="仿宋_GB2312" w:hAnsi="仿宋_GB2312" w:eastAsia="仿宋_GB2312" w:cs="仿宋_GB2312"/>
          <w:color w:val="auto"/>
          <w:sz w:val="32"/>
          <w:szCs w:val="32"/>
          <w:highlight w:val="none"/>
        </w:rPr>
        <w:t>，实行轮候管理，</w:t>
      </w:r>
      <w:r>
        <w:rPr>
          <w:rFonts w:hint="eastAsia" w:ascii="仿宋_GB2312" w:hAnsi="仿宋_GB2312" w:eastAsia="仿宋_GB2312" w:cs="仿宋_GB2312"/>
          <w:color w:val="auto"/>
          <w:sz w:val="32"/>
          <w:szCs w:val="32"/>
        </w:rPr>
        <w:t>按照</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克拉玛依市</w:t>
      </w:r>
      <w:r>
        <w:rPr>
          <w:rFonts w:hint="eastAsia" w:ascii="仿宋_GB2312" w:hAnsi="仿宋_GB2312" w:eastAsia="仿宋_GB2312" w:cs="仿宋_GB2312"/>
          <w:color w:val="auto"/>
          <w:sz w:val="32"/>
          <w:szCs w:val="32"/>
        </w:rPr>
        <w:t>烟草制品零售点轮候管理办法》执行。</w:t>
      </w:r>
    </w:p>
    <w:p w14:paraId="2EC29FDA">
      <w:pPr>
        <w:jc w:val="center"/>
        <w:rPr>
          <w:rFonts w:hint="eastAsia" w:ascii="方正仿宋_GBK" w:hAnsi="方正仿宋_GBK" w:eastAsia="方正仿宋_GBK" w:cs="方正仿宋_GBK"/>
          <w:sz w:val="32"/>
          <w:szCs w:val="32"/>
        </w:rPr>
      </w:pPr>
      <w:r>
        <w:rPr>
          <w:rFonts w:hint="eastAsia" w:ascii="CESI黑体-GB2312" w:hAnsi="CESI黑体-GB2312" w:eastAsia="CESI黑体-GB2312" w:cs="CESI黑体-GB2312"/>
          <w:sz w:val="32"/>
          <w:szCs w:val="32"/>
        </w:rPr>
        <w:t>第二章 </w:t>
      </w:r>
      <w:r>
        <w:rPr>
          <w:rFonts w:hint="eastAsia" w:ascii="黑体" w:hAnsi="宋体" w:eastAsia="黑体" w:cs="黑体"/>
          <w:color w:val="000000"/>
          <w:kern w:val="0"/>
          <w:sz w:val="31"/>
          <w:szCs w:val="31"/>
          <w:lang w:val="en-US" w:eastAsia="zh-CN" w:bidi="ar"/>
        </w:rPr>
        <w:t>普通烟草制品零售点</w:t>
      </w:r>
      <w:r>
        <w:rPr>
          <w:rFonts w:hint="default" w:ascii="黑体" w:hAnsi="宋体" w:eastAsia="黑体" w:cs="黑体"/>
          <w:color w:val="000000"/>
          <w:kern w:val="0"/>
          <w:sz w:val="31"/>
          <w:szCs w:val="31"/>
          <w:lang w:val="en-US" w:eastAsia="zh-CN" w:bidi="ar"/>
        </w:rPr>
        <w:t>布局标准</w:t>
      </w:r>
    </w:p>
    <w:p w14:paraId="228D2C3D">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240" w:lineRule="auto"/>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七</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社区市场单元采取</w:t>
      </w:r>
      <w:r>
        <w:rPr>
          <w:rFonts w:hint="eastAsia" w:ascii="仿宋_GB2312" w:hAnsi="仿宋_GB2312" w:eastAsia="仿宋_GB2312" w:cs="仿宋_GB2312"/>
          <w:b w:val="0"/>
          <w:bCs w:val="0"/>
          <w:sz w:val="32"/>
          <w:szCs w:val="32"/>
        </w:rPr>
        <w:t>“容量+间距+限制性条款”</w:t>
      </w:r>
      <w:r>
        <w:rPr>
          <w:rFonts w:hint="eastAsia" w:ascii="仿宋_GB2312" w:hAnsi="仿宋_GB2312" w:eastAsia="仿宋_GB2312" w:cs="仿宋_GB2312"/>
          <w:b w:val="0"/>
          <w:bCs w:val="0"/>
          <w:sz w:val="32"/>
          <w:szCs w:val="32"/>
          <w:lang w:eastAsia="zh-CN"/>
        </w:rPr>
        <w:t>管理</w:t>
      </w:r>
      <w:r>
        <w:rPr>
          <w:rFonts w:hint="eastAsia" w:ascii="仿宋_GB2312" w:hAnsi="仿宋_GB2312" w:eastAsia="仿宋_GB2312" w:cs="仿宋_GB2312"/>
          <w:sz w:val="32"/>
          <w:szCs w:val="32"/>
        </w:rPr>
        <w:t>模式。</w:t>
      </w:r>
    </w:p>
    <w:p w14:paraId="5933AD21">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（一）社区市场单元容量上限可通过新烟政务通等媒介进行查询。</w:t>
      </w:r>
    </w:p>
    <w:p w14:paraId="1F61EAF5">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（二）间距设置标准：零售点间距不小于</w:t>
      </w:r>
      <w:r>
        <w:rPr>
          <w:rFonts w:hint="eastAsia" w:ascii="仿宋_GB2312" w:eastAsia="仿宋_GB2312"/>
          <w:b w:val="0"/>
          <w:bCs w:val="0"/>
          <w:color w:val="auto"/>
          <w:sz w:val="32"/>
          <w:szCs w:val="32"/>
          <w:lang w:val="en-US" w:eastAsia="zh-CN"/>
        </w:rPr>
        <w:t>30米。</w:t>
      </w:r>
    </w:p>
    <w:p w14:paraId="4955EEBB">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240" w:lineRule="auto"/>
        <w:ind w:firstLine="640" w:firstLineChars="200"/>
        <w:jc w:val="both"/>
        <w:textAlignment w:val="auto"/>
        <w:rPr>
          <w:rFonts w:hint="eastAsia" w:ascii="仿宋_GB2312" w:eastAsia="仿宋_GB2312"/>
          <w:b w:val="0"/>
          <w:bCs w:val="0"/>
          <w:color w:val="auto"/>
          <w:sz w:val="32"/>
          <w:szCs w:val="32"/>
          <w:lang w:val="en-US" w:eastAsia="zh-CN"/>
        </w:rPr>
      </w:pPr>
      <w:r>
        <w:rPr>
          <w:rFonts w:hint="eastAsia" w:ascii="仿宋_GB2312" w:hAnsi="仿宋_GB2312" w:eastAsia="仿宋_GB2312" w:cs="仿宋_GB2312"/>
          <w:color w:val="auto"/>
          <w:sz w:val="32"/>
          <w:szCs w:val="32"/>
          <w:lang w:eastAsia="zh-CN"/>
        </w:rPr>
        <w:t>（三）</w:t>
      </w:r>
      <w:r>
        <w:rPr>
          <w:rFonts w:hint="eastAsia" w:ascii="仿宋_GB2312" w:eastAsia="仿宋_GB2312"/>
          <w:b w:val="0"/>
          <w:bCs w:val="0"/>
          <w:color w:val="auto"/>
          <w:sz w:val="32"/>
          <w:szCs w:val="32"/>
          <w:lang w:val="en-US" w:eastAsia="zh-CN"/>
        </w:rPr>
        <w:t>新建住宅小区（含作为小区外墙的沿街商服楼）和商业街</w:t>
      </w:r>
      <w:r>
        <w:rPr>
          <w:rFonts w:hint="eastAsia" w:ascii="仿宋_GB2312" w:hAnsi="仿宋_GB2312" w:eastAsia="仿宋_GB2312" w:cs="仿宋_GB2312"/>
          <w:sz w:val="32"/>
          <w:szCs w:val="32"/>
          <w:lang w:eastAsia="zh-CN"/>
        </w:rPr>
        <w:t>，</w:t>
      </w:r>
      <w:r>
        <w:rPr>
          <w:rFonts w:hint="eastAsia" w:ascii="仿宋_GB2312" w:eastAsia="仿宋_GB2312"/>
          <w:b w:val="0"/>
          <w:bCs w:val="0"/>
          <w:color w:val="auto"/>
          <w:sz w:val="32"/>
          <w:szCs w:val="32"/>
          <w:lang w:val="en-US" w:eastAsia="zh-CN"/>
        </w:rPr>
        <w:t>自正式交付使用之日起</w:t>
      </w:r>
      <w:r>
        <w:rPr>
          <w:rFonts w:hint="default" w:ascii="仿宋_GB2312" w:eastAsia="仿宋_GB2312"/>
          <w:b w:val="0"/>
          <w:bCs w:val="0"/>
          <w:color w:val="auto"/>
          <w:sz w:val="32"/>
          <w:szCs w:val="32"/>
          <w:lang w:val="en-US" w:eastAsia="zh-CN"/>
        </w:rPr>
        <w:t>6</w:t>
      </w:r>
      <w:r>
        <w:rPr>
          <w:rFonts w:hint="eastAsia" w:ascii="仿宋_GB2312" w:eastAsia="仿宋_GB2312"/>
          <w:b w:val="0"/>
          <w:bCs w:val="0"/>
          <w:color w:val="auto"/>
          <w:sz w:val="32"/>
          <w:szCs w:val="32"/>
          <w:lang w:val="en-US" w:eastAsia="zh-CN"/>
        </w:rPr>
        <w:t>个月内，不受本社区市场单元零售点容量限制，按照本规划规定设置零售点：</w:t>
      </w:r>
    </w:p>
    <w:p w14:paraId="16718597">
      <w:pPr>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1.新建住宅小区</w:t>
      </w:r>
      <w:r>
        <w:rPr>
          <w:rFonts w:hint="eastAsia" w:ascii="仿宋_GB2312" w:eastAsia="仿宋_GB2312"/>
          <w:b w:val="0"/>
          <w:bCs w:val="0"/>
          <w:color w:val="auto"/>
          <w:sz w:val="32"/>
          <w:szCs w:val="32"/>
          <w:lang w:val="en-US" w:eastAsia="zh-CN"/>
        </w:rPr>
        <w:t>（含作为小区外墙的沿街商服楼）</w:t>
      </w:r>
      <w:r>
        <w:rPr>
          <w:rFonts w:hint="eastAsia" w:ascii="仿宋_GB2312" w:hAnsi="仿宋_GB2312" w:eastAsia="仿宋_GB2312" w:cs="仿宋_GB2312"/>
          <w:color w:val="auto"/>
          <w:sz w:val="32"/>
          <w:szCs w:val="32"/>
          <w:lang w:val="en-US" w:eastAsia="zh-CN"/>
        </w:rPr>
        <w:t>，以住宅户数核定零售点数量：住宅户数不足100户的，可设置1个零售点；户数每增加200户增设1个零售点，单个小区最多设置3个零售点，且零</w:t>
      </w:r>
      <w:r>
        <w:rPr>
          <w:rFonts w:hint="eastAsia" w:ascii="仿宋_GB2312" w:hAnsi="仿宋_GB2312" w:eastAsia="仿宋_GB2312" w:cs="仿宋_GB2312"/>
          <w:color w:val="auto"/>
          <w:sz w:val="32"/>
          <w:szCs w:val="32"/>
          <w:highlight w:val="none"/>
          <w:lang w:val="en-US" w:eastAsia="zh-CN"/>
        </w:rPr>
        <w:t>售点间距不小于30米；</w:t>
      </w:r>
    </w:p>
    <w:p w14:paraId="138FC8D1">
      <w:pPr>
        <w:ind w:firstLine="640" w:firstLineChars="200"/>
        <w:jc w:val="both"/>
        <w:rPr>
          <w:rFonts w:hint="eastAsia" w:ascii="方正仿宋_GBK" w:hAnsi="方正仿宋_GBK" w:eastAsia="方正仿宋_GBK" w:cs="方正仿宋_GBK"/>
          <w:sz w:val="32"/>
          <w:szCs w:val="32"/>
          <w:lang w:val="en-US" w:eastAsia="zh-CN"/>
        </w:rPr>
      </w:pPr>
      <w:r>
        <w:rPr>
          <w:rFonts w:hint="eastAsia" w:ascii="仿宋_GB2312" w:hAnsi="仿宋_GB2312" w:eastAsia="仿宋_GB2312" w:cs="仿宋_GB2312"/>
          <w:color w:val="auto"/>
          <w:sz w:val="32"/>
          <w:szCs w:val="32"/>
          <w:highlight w:val="none"/>
          <w:lang w:val="en-US" w:eastAsia="zh-CN"/>
        </w:rPr>
        <w:t>2.新建商业街，以固定商铺数核定零售点数量：固定商铺数不足10户的，可设置1个零售点；固定商铺数每增加10户增设1个零售点，单条商业街最多设置3个零售点，区域内新设零售点间距不小于30米。</w:t>
      </w:r>
    </w:p>
    <w:p w14:paraId="5621834E">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240" w:lineRule="auto"/>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八</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行政（自然）村</w:t>
      </w:r>
      <w:r>
        <w:rPr>
          <w:rFonts w:hint="eastAsia" w:ascii="仿宋_GB2312" w:hAnsi="仿宋_GB2312" w:eastAsia="仿宋_GB2312" w:cs="仿宋_GB2312"/>
          <w:sz w:val="32"/>
          <w:szCs w:val="32"/>
          <w:lang w:eastAsia="zh-CN"/>
        </w:rPr>
        <w:t>（连队）</w:t>
      </w:r>
      <w:r>
        <w:rPr>
          <w:rFonts w:hint="eastAsia" w:ascii="仿宋_GB2312" w:hAnsi="仿宋_GB2312" w:eastAsia="仿宋_GB2312" w:cs="仿宋_GB2312"/>
          <w:sz w:val="32"/>
          <w:szCs w:val="32"/>
        </w:rPr>
        <w:t>市场单元采取“容量+间距+限制性条款”管理模式。</w:t>
      </w:r>
    </w:p>
    <w:p w14:paraId="78B2D1D7">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行政（自然）村</w:t>
      </w:r>
      <w:r>
        <w:rPr>
          <w:rFonts w:hint="eastAsia" w:ascii="仿宋_GB2312" w:hAnsi="仿宋_GB2312" w:eastAsia="仿宋_GB2312" w:cs="仿宋_GB2312"/>
          <w:sz w:val="32"/>
          <w:szCs w:val="32"/>
          <w:lang w:eastAsia="zh-CN"/>
        </w:rPr>
        <w:t>（连队）</w:t>
      </w:r>
      <w:r>
        <w:rPr>
          <w:rFonts w:hint="eastAsia" w:ascii="仿宋_GB2312" w:hAnsi="仿宋_GB2312" w:eastAsia="仿宋_GB2312" w:cs="仿宋_GB2312"/>
          <w:sz w:val="32"/>
          <w:szCs w:val="32"/>
        </w:rPr>
        <w:t>市场单元容量上限可通过新烟政务通等媒介进行查询。</w:t>
      </w:r>
    </w:p>
    <w:p w14:paraId="357C67DC">
      <w:pPr>
        <w:ind w:firstLine="640" w:firstLineChars="200"/>
        <w:jc w:val="both"/>
        <w:rPr>
          <w:rFonts w:hint="eastAsia" w:ascii="方正仿宋_GBK" w:hAnsi="方正仿宋_GBK" w:eastAsia="方正仿宋_GBK" w:cs="方正仿宋_GBK"/>
          <w:sz w:val="32"/>
          <w:szCs w:val="32"/>
          <w:lang w:val="en-US" w:eastAsia="zh-CN"/>
        </w:rPr>
      </w:pPr>
      <w:r>
        <w:rPr>
          <w:rFonts w:hint="eastAsia" w:ascii="仿宋_GB2312" w:hAnsi="仿宋_GB2312" w:eastAsia="仿宋_GB2312" w:cs="仿宋_GB2312"/>
          <w:sz w:val="32"/>
          <w:szCs w:val="32"/>
          <w:lang w:val="en-US" w:eastAsia="zh-CN"/>
        </w:rPr>
        <w:t>（二）按照100人以下的设置1个零售点，每增加200人增设1个零售点，零售点间距不小于50米的标准设置。</w:t>
      </w:r>
    </w:p>
    <w:p w14:paraId="1CF36532">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240" w:lineRule="auto"/>
        <w:ind w:firstLine="643" w:firstLineChars="200"/>
        <w:jc w:val="both"/>
        <w:textAlignment w:val="auto"/>
        <w:rPr>
          <w:rFonts w:hint="eastAsia" w:ascii="仿宋_GB2312" w:hAnsi="仿宋_GB2312" w:eastAsia="仿宋_GB2312" w:cs="仿宋_GB2312"/>
          <w:color w:val="0000FD"/>
          <w:sz w:val="32"/>
          <w:szCs w:val="32"/>
          <w:lang w:val="en-US" w:eastAsia="zh-CN"/>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九</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color w:val="auto"/>
          <w:sz w:val="32"/>
          <w:szCs w:val="32"/>
        </w:rPr>
        <w:t>特殊区域市场单元采取</w:t>
      </w:r>
      <w:r>
        <w:rPr>
          <w:rFonts w:hint="eastAsia" w:ascii="仿宋_GB2312" w:hAnsi="仿宋_GB2312" w:eastAsia="仿宋_GB2312" w:cs="仿宋_GB2312"/>
          <w:color w:val="auto"/>
          <w:sz w:val="32"/>
          <w:szCs w:val="32"/>
          <w:lang w:val="en-US" w:eastAsia="zh-CN"/>
        </w:rPr>
        <w:t>“户数/人数/商铺数+距离+数量上限”管理模式，特殊区域市场单元内的零售点不受所在社区、</w:t>
      </w:r>
      <w:r>
        <w:rPr>
          <w:rFonts w:hint="eastAsia" w:ascii="仿宋_GB2312" w:hAnsi="仿宋_GB2312" w:eastAsia="仿宋_GB2312" w:cs="仿宋_GB2312"/>
          <w:sz w:val="32"/>
          <w:szCs w:val="32"/>
        </w:rPr>
        <w:t>行政</w:t>
      </w:r>
      <w:r>
        <w:rPr>
          <w:rFonts w:hint="eastAsia" w:ascii="仿宋_GB2312" w:hAnsi="仿宋_GB2312" w:eastAsia="仿宋_GB2312" w:cs="仿宋_GB2312"/>
          <w:sz w:val="32"/>
          <w:szCs w:val="32"/>
          <w:lang w:eastAsia="zh-CN"/>
        </w:rPr>
        <w:t>（自然）</w:t>
      </w:r>
      <w:r>
        <w:rPr>
          <w:rFonts w:hint="eastAsia" w:ascii="仿宋_GB2312" w:hAnsi="仿宋_GB2312" w:eastAsia="仿宋_GB2312" w:cs="仿宋_GB2312"/>
          <w:sz w:val="32"/>
          <w:szCs w:val="32"/>
        </w:rPr>
        <w:t>村</w:t>
      </w:r>
      <w:r>
        <w:rPr>
          <w:rFonts w:hint="eastAsia" w:ascii="仿宋_GB2312" w:hAnsi="仿宋_GB2312" w:eastAsia="仿宋_GB2312" w:cs="仿宋_GB2312"/>
          <w:sz w:val="32"/>
          <w:szCs w:val="32"/>
          <w:lang w:eastAsia="zh-CN"/>
        </w:rPr>
        <w:t>（连队）</w:t>
      </w:r>
      <w:r>
        <w:rPr>
          <w:rFonts w:hint="eastAsia" w:ascii="仿宋_GB2312" w:hAnsi="仿宋_GB2312" w:eastAsia="仿宋_GB2312" w:cs="仿宋_GB2312"/>
          <w:color w:val="auto"/>
          <w:sz w:val="32"/>
          <w:szCs w:val="32"/>
          <w:lang w:val="en-US" w:eastAsia="zh-CN"/>
        </w:rPr>
        <w:t>市场单元的容量限制。</w:t>
      </w:r>
    </w:p>
    <w:p w14:paraId="22A5A45E">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（一）特殊区域市场单元容量上限可通过新烟政务通等媒介进行查询。</w:t>
      </w:r>
    </w:p>
    <w:p w14:paraId="1B8A5D0A">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000000"/>
          <w:sz w:val="32"/>
          <w:szCs w:val="32"/>
          <w:highlight w:val="none"/>
          <w:lang w:val="en-US" w:eastAsia="zh-CN"/>
        </w:rPr>
      </w:pPr>
      <w:r>
        <w:rPr>
          <w:rFonts w:hint="eastAsia" w:ascii="仿宋_GB2312" w:hAnsi="仿宋_GB2312" w:eastAsia="仿宋_GB2312" w:cs="仿宋_GB2312"/>
          <w:sz w:val="32"/>
          <w:szCs w:val="32"/>
        </w:rPr>
        <w:t>（二）特殊区域市场单元具体设置标准：</w:t>
      </w:r>
    </w:p>
    <w:p w14:paraId="5FC8BE20">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val="en-US" w:eastAsia="zh-CN"/>
        </w:rPr>
        <w:t>1.矿区。100人以下的设置1个零售点，每增加200人增设1个零售点，最多设置3个零售点。</w:t>
      </w:r>
    </w:p>
    <w:p w14:paraId="47CE970A">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val="en-US" w:eastAsia="zh-CN"/>
        </w:rPr>
        <w:t>2.工业园区。</w:t>
      </w:r>
    </w:p>
    <w:p w14:paraId="0E168BED">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val="en-US" w:eastAsia="zh-CN"/>
        </w:rPr>
        <w:t>（1）园区内用工规模1000人以上的单个工厂：每500名在岗人员可设置1个零售点，单个工厂最多设置3个零售点；</w:t>
      </w:r>
    </w:p>
    <w:p w14:paraId="0AD6A1DC">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val="en-US" w:eastAsia="zh-CN"/>
        </w:rPr>
        <w:t>（2）工业园区内已成型的独立商业街区（即包含餐饮等商铺数10户以上的）：执行零售点间距不小于50米的规定，该区域零售点不计入工业园区零售点总量限额；</w:t>
      </w:r>
    </w:p>
    <w:p w14:paraId="65D6E8D3">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val="en-US" w:eastAsia="zh-CN"/>
        </w:rPr>
        <w:t>（3）除上述千人以上大型工厂、独立商业街区以外的工业园区其余区域：按园区剩余居住、务工总人数核定。1000人以下的可设置1个零售点，人数每增加2000人增设1个零售点，该区域最多设置5个零售点。</w:t>
      </w:r>
    </w:p>
    <w:p w14:paraId="5B3D1673">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val="en-US" w:eastAsia="zh-CN"/>
        </w:rPr>
        <w:t>3.集贸区（即农副产品市场、综合市场、建材市场、物流园等相对封闭的市场、区域）。按照固定商铺数量100户以下的设置2个零售点，每增加100户增设1个零售点，最多设置10个零售点，零售点间隔距离不小于50米。</w:t>
      </w:r>
    </w:p>
    <w:p w14:paraId="360EBCC7">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b w:val="0"/>
          <w:bCs w:val="0"/>
          <w:color w:val="auto"/>
          <w:sz w:val="32"/>
          <w:szCs w:val="32"/>
        </w:rPr>
      </w:pPr>
      <w:r>
        <w:rPr>
          <w:rFonts w:hint="eastAsia" w:ascii="仿宋_GB2312" w:eastAsia="仿宋_GB2312"/>
          <w:b w:val="0"/>
          <w:bCs w:val="0"/>
          <w:color w:val="auto"/>
          <w:sz w:val="32"/>
          <w:szCs w:val="32"/>
          <w:lang w:val="en-US" w:eastAsia="zh-CN"/>
        </w:rPr>
        <w:t>4.</w:t>
      </w:r>
      <w:r>
        <w:rPr>
          <w:rFonts w:hint="eastAsia" w:ascii="仿宋_GB2312" w:eastAsia="仿宋_GB2312"/>
          <w:b w:val="0"/>
          <w:bCs w:val="0"/>
          <w:color w:val="auto"/>
          <w:sz w:val="32"/>
          <w:szCs w:val="32"/>
        </w:rPr>
        <w:t>交通客运区。</w:t>
      </w:r>
    </w:p>
    <w:p w14:paraId="408EEE76">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rPr>
        <w:t>（1）火车站、飞机场，以上一年度旅客吞吐量核定零售点数量：50万人次</w:t>
      </w:r>
      <w:r>
        <w:rPr>
          <w:rFonts w:hint="eastAsia" w:ascii="仿宋_GB2312" w:eastAsia="仿宋_GB2312"/>
          <w:b w:val="0"/>
          <w:bCs w:val="0"/>
          <w:color w:val="auto"/>
          <w:sz w:val="32"/>
          <w:szCs w:val="32"/>
          <w:lang w:eastAsia="zh-CN"/>
        </w:rPr>
        <w:t>以下</w:t>
      </w:r>
      <w:r>
        <w:rPr>
          <w:rFonts w:hint="eastAsia" w:ascii="仿宋_GB2312" w:eastAsia="仿宋_GB2312"/>
          <w:b w:val="0"/>
          <w:bCs w:val="0"/>
          <w:color w:val="auto"/>
          <w:sz w:val="32"/>
          <w:szCs w:val="32"/>
        </w:rPr>
        <w:t>的，可设置1个零售点；每增加50人万次增设1个零售点，最多设置3个零售点</w:t>
      </w:r>
      <w:r>
        <w:rPr>
          <w:rFonts w:hint="eastAsia" w:ascii="仿宋_GB2312" w:eastAsia="仿宋_GB2312"/>
          <w:b w:val="0"/>
          <w:bCs w:val="0"/>
          <w:color w:val="auto"/>
          <w:sz w:val="32"/>
          <w:szCs w:val="32"/>
          <w:lang w:eastAsia="zh-CN"/>
        </w:rPr>
        <w:t>。</w:t>
      </w:r>
    </w:p>
    <w:p w14:paraId="72B61038">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b w:val="0"/>
          <w:bCs w:val="0"/>
          <w:color w:val="auto"/>
          <w:sz w:val="32"/>
          <w:szCs w:val="32"/>
        </w:rPr>
      </w:pPr>
      <w:r>
        <w:rPr>
          <w:rFonts w:hint="eastAsia" w:ascii="仿宋_GB2312" w:eastAsia="仿宋_GB2312"/>
          <w:b w:val="0"/>
          <w:bCs w:val="0"/>
          <w:color w:val="auto"/>
          <w:sz w:val="32"/>
          <w:szCs w:val="32"/>
        </w:rPr>
        <w:t>（2）汽车站</w:t>
      </w:r>
      <w:r>
        <w:rPr>
          <w:rFonts w:hint="eastAsia" w:ascii="仿宋_GB2312" w:eastAsia="仿宋_GB2312"/>
          <w:b w:val="0"/>
          <w:bCs w:val="0"/>
          <w:color w:val="auto"/>
          <w:sz w:val="32"/>
          <w:szCs w:val="32"/>
          <w:lang w:eastAsia="zh-CN"/>
        </w:rPr>
        <w:t>最多</w:t>
      </w:r>
      <w:r>
        <w:rPr>
          <w:rFonts w:hint="eastAsia" w:ascii="仿宋_GB2312" w:eastAsia="仿宋_GB2312"/>
          <w:b w:val="0"/>
          <w:bCs w:val="0"/>
          <w:color w:val="auto"/>
          <w:sz w:val="32"/>
          <w:szCs w:val="32"/>
        </w:rPr>
        <w:t>设置</w:t>
      </w:r>
      <w:r>
        <w:rPr>
          <w:rFonts w:hint="eastAsia" w:ascii="仿宋_GB2312" w:eastAsia="仿宋_GB2312"/>
          <w:b w:val="0"/>
          <w:bCs w:val="0"/>
          <w:color w:val="auto"/>
          <w:sz w:val="32"/>
          <w:szCs w:val="32"/>
          <w:lang w:val="en-US" w:eastAsia="zh-CN"/>
        </w:rPr>
        <w:t>2</w:t>
      </w:r>
      <w:r>
        <w:rPr>
          <w:rFonts w:hint="eastAsia" w:ascii="仿宋_GB2312" w:eastAsia="仿宋_GB2312"/>
          <w:b w:val="0"/>
          <w:bCs w:val="0"/>
          <w:color w:val="auto"/>
          <w:sz w:val="32"/>
          <w:szCs w:val="32"/>
        </w:rPr>
        <w:t>个零售点。</w:t>
      </w:r>
    </w:p>
    <w:p w14:paraId="384994A8">
      <w:pPr>
        <w:keepNext w:val="0"/>
        <w:keepLines w:val="0"/>
        <w:pageBreakBefore w:val="0"/>
        <w:kinsoku/>
        <w:wordWrap/>
        <w:overflowPunct/>
        <w:topLinePunct w:val="0"/>
        <w:autoSpaceDE/>
        <w:autoSpaceDN/>
        <w:bidi w:val="0"/>
        <w:adjustRightInd w:val="0"/>
        <w:snapToGrid/>
        <w:spacing w:line="240" w:lineRule="auto"/>
        <w:ind w:firstLine="640" w:firstLineChars="200"/>
        <w:jc w:val="left"/>
        <w:textAlignment w:val="auto"/>
        <w:rPr>
          <w:rFonts w:hint="eastAsia"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val="en-US" w:eastAsia="zh-CN"/>
        </w:rPr>
        <w:t>5.军管区、警管区（即军事单位、监狱、拘留所、看守所、戒毒所等特殊区域)对内经营的，最多设置2个零售点。</w:t>
      </w:r>
    </w:p>
    <w:p w14:paraId="29EBF4C7">
      <w:pPr>
        <w:keepNext w:val="0"/>
        <w:keepLines w:val="0"/>
        <w:pageBreakBefore w:val="0"/>
        <w:kinsoku/>
        <w:wordWrap/>
        <w:overflowPunct/>
        <w:topLinePunct w:val="0"/>
        <w:autoSpaceDE/>
        <w:autoSpaceDN/>
        <w:bidi w:val="0"/>
        <w:adjustRightInd w:val="0"/>
        <w:snapToGrid/>
        <w:spacing w:line="240" w:lineRule="auto"/>
        <w:ind w:firstLine="640" w:firstLineChars="200"/>
        <w:jc w:val="left"/>
        <w:textAlignment w:val="auto"/>
        <w:rPr>
          <w:rFonts w:hint="eastAsia" w:ascii="仿宋_GB2312" w:hAnsi="仿宋_GB2312" w:eastAsia="仿宋_GB2312" w:cs="仿宋_GB2312"/>
          <w:b w:val="0"/>
          <w:color w:val="auto"/>
          <w:sz w:val="32"/>
          <w:highlight w:val="none"/>
          <w:lang w:val="en-US" w:eastAsia="zh-CN"/>
        </w:rPr>
      </w:pPr>
      <w:r>
        <w:rPr>
          <w:rFonts w:hint="eastAsia" w:ascii="仿宋_GB2312" w:eastAsia="仿宋_GB2312"/>
          <w:b w:val="0"/>
          <w:bCs w:val="0"/>
          <w:color w:val="auto"/>
          <w:sz w:val="32"/>
          <w:szCs w:val="32"/>
          <w:lang w:val="en-US" w:eastAsia="zh-CN"/>
        </w:rPr>
        <w:t>6.</w:t>
      </w:r>
      <w:r>
        <w:rPr>
          <w:rFonts w:hint="eastAsia" w:ascii="仿宋_GB2312" w:hAnsi="仿宋_GB2312" w:eastAsia="仿宋_GB2312" w:cs="仿宋_GB2312"/>
          <w:b w:val="0"/>
          <w:color w:val="auto"/>
          <w:sz w:val="32"/>
          <w:highlight w:val="none"/>
          <w:lang w:val="en-US" w:eastAsia="zh-CN"/>
        </w:rPr>
        <w:t>高速公路、国道、省道服务区内最多设置2个零售点。</w:t>
      </w:r>
    </w:p>
    <w:p w14:paraId="59A97B1B">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eastAsia="仿宋_GB2312"/>
          <w:b w:val="0"/>
          <w:bCs w:val="0"/>
          <w:color w:val="auto"/>
          <w:sz w:val="32"/>
          <w:szCs w:val="32"/>
          <w:lang w:val="en-US" w:eastAsia="zh-CN"/>
        </w:rPr>
        <w:t>7.</w:t>
      </w:r>
      <w:r>
        <w:rPr>
          <w:rFonts w:hint="eastAsia" w:ascii="仿宋_GB2312" w:hAnsi="仿宋_GB2312" w:eastAsia="仿宋_GB2312" w:cs="仿宋_GB2312"/>
          <w:sz w:val="32"/>
          <w:szCs w:val="32"/>
        </w:rPr>
        <w:t>零售点位于</w:t>
      </w:r>
      <w:r>
        <w:rPr>
          <w:rFonts w:hint="eastAsia" w:ascii="仿宋_GB2312" w:hAnsi="仿宋_GB2312" w:eastAsia="仿宋_GB2312" w:cs="仿宋_GB2312"/>
          <w:sz w:val="32"/>
          <w:szCs w:val="32"/>
          <w:lang w:eastAsia="zh-CN"/>
        </w:rPr>
        <w:t>高速公路、</w:t>
      </w:r>
      <w:r>
        <w:rPr>
          <w:rFonts w:hint="eastAsia" w:ascii="仿宋_GB2312" w:hAnsi="仿宋_GB2312" w:eastAsia="仿宋_GB2312" w:cs="仿宋_GB2312"/>
          <w:sz w:val="32"/>
          <w:szCs w:val="32"/>
        </w:rPr>
        <w:t>国道、省道沿线的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间距不小于</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米</w:t>
      </w:r>
      <w:r>
        <w:rPr>
          <w:rFonts w:hint="eastAsia" w:ascii="仿宋_GB2312" w:hAnsi="仿宋_GB2312" w:eastAsia="仿宋_GB2312" w:cs="仿宋_GB2312"/>
          <w:sz w:val="32"/>
          <w:szCs w:val="32"/>
          <w:lang w:eastAsia="zh-CN"/>
        </w:rPr>
        <w:t>。</w:t>
      </w:r>
    </w:p>
    <w:p w14:paraId="6D184F94">
      <w:pPr>
        <w:keepNext w:val="0"/>
        <w:keepLines w:val="0"/>
        <w:pageBreakBefore w:val="0"/>
        <w:kinsoku/>
        <w:wordWrap/>
        <w:overflowPunct/>
        <w:topLinePunct w:val="0"/>
        <w:autoSpaceDE/>
        <w:autoSpaceDN/>
        <w:bidi w:val="0"/>
        <w:adjustRightInd w:val="0"/>
        <w:snapToGrid/>
        <w:spacing w:line="240" w:lineRule="auto"/>
        <w:ind w:firstLine="640" w:firstLineChars="200"/>
        <w:jc w:val="left"/>
        <w:textAlignment w:val="auto"/>
        <w:rPr>
          <w:rFonts w:hint="eastAsia"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val="en-US" w:eastAsia="zh-CN"/>
        </w:rPr>
        <w:t>8.4A级以上旅游景点游客服务区提供问询、餐饮、日杂商品售卖等服务的场所内，最多设置2个零售点。</w:t>
      </w:r>
    </w:p>
    <w:p w14:paraId="296335A3">
      <w:pPr>
        <w:ind w:firstLine="640" w:firstLineChars="200"/>
        <w:rPr>
          <w:rFonts w:hint="eastAsia" w:ascii="方正仿宋_GBK" w:hAnsi="方正仿宋_GBK" w:eastAsia="方正仿宋_GBK" w:cs="方正仿宋_GBK"/>
          <w:sz w:val="32"/>
          <w:szCs w:val="32"/>
          <w:lang w:val="en-US" w:eastAsia="zh-CN"/>
        </w:rPr>
      </w:pPr>
      <w:r>
        <w:rPr>
          <w:rFonts w:hint="eastAsia" w:ascii="仿宋_GB2312" w:eastAsia="仿宋_GB2312"/>
          <w:b w:val="0"/>
          <w:bCs w:val="0"/>
          <w:color w:val="auto"/>
          <w:sz w:val="32"/>
          <w:szCs w:val="32"/>
          <w:lang w:val="en-US" w:eastAsia="zh-CN"/>
        </w:rPr>
        <w:t>9.</w:t>
      </w:r>
      <w:r>
        <w:rPr>
          <w:rFonts w:hint="eastAsia" w:ascii="仿宋_GB2312" w:eastAsia="仿宋_GB2312"/>
          <w:b w:val="0"/>
          <w:bCs w:val="0"/>
          <w:color w:val="auto"/>
          <w:sz w:val="32"/>
          <w:szCs w:val="32"/>
          <w:lang w:eastAsia="zh-CN"/>
        </w:rPr>
        <w:t>实际经营面积达到</w:t>
      </w:r>
      <w:r>
        <w:rPr>
          <w:rFonts w:hint="eastAsia" w:ascii="仿宋_GB2312" w:eastAsia="仿宋_GB2312"/>
          <w:b w:val="0"/>
          <w:bCs w:val="0"/>
          <w:color w:val="auto"/>
          <w:sz w:val="32"/>
          <w:szCs w:val="32"/>
          <w:lang w:val="en-US" w:eastAsia="zh-CN"/>
        </w:rPr>
        <w:t>20</w:t>
      </w:r>
      <w:r>
        <w:rPr>
          <w:rFonts w:hint="eastAsia" w:ascii="仿宋_GB2312" w:eastAsia="仿宋_GB2312"/>
          <w:b w:val="0"/>
          <w:bCs w:val="0"/>
          <w:color w:val="auto"/>
          <w:sz w:val="32"/>
          <w:szCs w:val="32"/>
          <w:lang w:eastAsia="zh-CN"/>
        </w:rPr>
        <w:t>00平方米及以上的超市、</w:t>
      </w:r>
      <w:r>
        <w:rPr>
          <w:rFonts w:hint="eastAsia" w:ascii="仿宋_GB2312" w:eastAsia="仿宋_GB2312"/>
          <w:b w:val="0"/>
          <w:bCs w:val="0"/>
          <w:color w:val="auto"/>
          <w:sz w:val="32"/>
          <w:szCs w:val="32"/>
          <w:lang w:val="en-US" w:eastAsia="zh-CN"/>
        </w:rPr>
        <w:t>6</w:t>
      </w:r>
      <w:r>
        <w:rPr>
          <w:rFonts w:hint="eastAsia" w:ascii="仿宋_GB2312" w:eastAsia="仿宋_GB2312"/>
          <w:b w:val="0"/>
          <w:bCs w:val="0"/>
          <w:color w:val="auto"/>
          <w:sz w:val="32"/>
          <w:szCs w:val="32"/>
          <w:lang w:eastAsia="zh-CN"/>
        </w:rPr>
        <w:t>000平方米及以上的商场，经营场所可设置</w:t>
      </w:r>
      <w:r>
        <w:rPr>
          <w:rFonts w:hint="eastAsia" w:ascii="仿宋_GB2312" w:eastAsia="仿宋_GB2312"/>
          <w:b w:val="0"/>
          <w:bCs w:val="0"/>
          <w:color w:val="auto"/>
          <w:sz w:val="32"/>
          <w:szCs w:val="32"/>
          <w:lang w:val="en-US" w:eastAsia="zh-CN"/>
        </w:rPr>
        <w:t>1个零售点</w:t>
      </w:r>
      <w:r>
        <w:rPr>
          <w:rFonts w:hint="eastAsia" w:ascii="仿宋_GB2312" w:eastAsia="仿宋_GB2312"/>
          <w:b w:val="0"/>
          <w:bCs w:val="0"/>
          <w:color w:val="auto"/>
          <w:sz w:val="32"/>
          <w:szCs w:val="32"/>
          <w:lang w:eastAsia="zh-CN"/>
        </w:rPr>
        <w:t>。该类零售点不作为周边新设零售点的间距测算参照。</w:t>
      </w:r>
    </w:p>
    <w:p w14:paraId="6CAAAD6C">
      <w:pPr>
        <w:jc w:val="center"/>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第</w:t>
      </w:r>
      <w:r>
        <w:rPr>
          <w:rFonts w:hint="eastAsia" w:ascii="CESI黑体-GB2312" w:hAnsi="CESI黑体-GB2312" w:eastAsia="CESI黑体-GB2312" w:cs="CESI黑体-GB2312"/>
          <w:sz w:val="32"/>
          <w:szCs w:val="32"/>
          <w:lang w:eastAsia="zh-CN"/>
        </w:rPr>
        <w:t>三</w:t>
      </w:r>
      <w:r>
        <w:rPr>
          <w:rFonts w:hint="eastAsia" w:ascii="CESI黑体-GB2312" w:hAnsi="CESI黑体-GB2312" w:eastAsia="CESI黑体-GB2312" w:cs="CESI黑体-GB2312"/>
          <w:sz w:val="32"/>
          <w:szCs w:val="32"/>
        </w:rPr>
        <w:t>章</w:t>
      </w:r>
      <w:r>
        <w:rPr>
          <w:rFonts w:hint="eastAsia" w:ascii="CESI黑体-GB2312" w:hAnsi="CESI黑体-GB2312" w:eastAsia="CESI黑体-GB2312" w:cs="CESI黑体-GB2312"/>
          <w:sz w:val="32"/>
          <w:szCs w:val="32"/>
          <w:lang w:val="en-US" w:eastAsia="zh-CN"/>
        </w:rPr>
        <w:t xml:space="preserve">  </w:t>
      </w:r>
      <w:r>
        <w:rPr>
          <w:rFonts w:hint="eastAsia" w:ascii="CESI黑体-GB2312" w:hAnsi="CESI黑体-GB2312" w:eastAsia="CESI黑体-GB2312" w:cs="CESI黑体-GB2312"/>
          <w:sz w:val="32"/>
          <w:szCs w:val="32"/>
        </w:rPr>
        <w:t>限制性条款</w:t>
      </w:r>
    </w:p>
    <w:p w14:paraId="09812C5B">
      <w:pPr>
        <w:keepNext w:val="0"/>
        <w:keepLines w:val="0"/>
        <w:pageBreakBefore w:val="0"/>
        <w:kinsoku/>
        <w:wordWrap/>
        <w:overflowPunct/>
        <w:topLinePunct w:val="0"/>
        <w:autoSpaceDE/>
        <w:autoSpaceDN/>
        <w:bidi w:val="0"/>
        <w:adjustRightInd w:val="0"/>
        <w:snapToGrid/>
        <w:spacing w:line="240" w:lineRule="auto"/>
        <w:ind w:firstLine="643"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hAnsi="仿宋_GB2312" w:eastAsia="仿宋_GB2312" w:cs="仿宋_GB2312"/>
          <w:b/>
          <w:bCs/>
          <w:sz w:val="32"/>
          <w:szCs w:val="32"/>
          <w:lang w:val="en-US" w:eastAsia="zh-CN"/>
        </w:rPr>
        <w:t>第十条</w:t>
      </w:r>
      <w:r>
        <w:rPr>
          <w:rFonts w:hint="eastAsia" w:ascii="仿宋_GB2312" w:eastAsia="仿宋_GB2312" w:cs="Times New Roman"/>
          <w:b w:val="0"/>
          <w:bCs w:val="0"/>
          <w:color w:val="auto"/>
          <w:sz w:val="32"/>
          <w:szCs w:val="32"/>
          <w:lang w:val="en-US" w:eastAsia="zh-CN"/>
        </w:rPr>
        <w:t>  有下列情形之一的，不予设置零售点：</w:t>
      </w:r>
    </w:p>
    <w:p w14:paraId="494724EE">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（一）申请主体</w:t>
      </w:r>
    </w:p>
    <w:p w14:paraId="701A4A8A">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1.未成年人、无民事行为能力人及限制民事行为能力人；</w:t>
      </w:r>
    </w:p>
    <w:p w14:paraId="0B302003">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2.外商投资的商业企业或者个体工商户，又或以特许、吸纳加盟店等其他外商再投资形式变相经营的，但国家烟草专卖行政主管部门明文规定的例外情形除外；</w:t>
      </w:r>
    </w:p>
    <w:p w14:paraId="1ED9F2A4">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3.取消从事烟草专卖业务资格不满三年的；</w:t>
      </w:r>
    </w:p>
    <w:p w14:paraId="20AC71A6">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4.因申请人隐瞒有关情况或者提供虚假材料，烟草专卖行政主管部门作出不予受理或者不予发证决定后，申请人一年内再次提出申请的；</w:t>
      </w:r>
    </w:p>
    <w:p w14:paraId="17ECF0F6">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5.申请人以欺骗、贿赂等不正当手段取得的烟草专卖零售许可证被撤销后，申请人三年内再次提出申请的；</w:t>
      </w:r>
    </w:p>
    <w:p w14:paraId="23F11C0E">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6.未领取烟草专卖零售许可证经营烟草制品业务，并且一年内被执法机关处罚两次以上，在三年内申请领取烟草专卖零售许可证的；</w:t>
      </w:r>
    </w:p>
    <w:p w14:paraId="49AA0EEF">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7.未领取烟草专卖零售许可证经营烟草制品业务被追究刑事责任，在三年内申请领取烟草专卖零售许可证的；</w:t>
      </w:r>
    </w:p>
    <w:p w14:paraId="554F2C6B">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8.未持有合法有效的营业执照。</w:t>
      </w:r>
    </w:p>
    <w:p w14:paraId="541A142B">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（二）经营场所</w:t>
      </w:r>
    </w:p>
    <w:p w14:paraId="338FBAC8">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1.无固定经营场所的，如流动摊点（车、棚、柜）、简易工棚、临时建筑、集装箱屋、危房、尚未竣工或未交付使用的场所、违章建筑，居民楼及楼宇公用巷道、楼梯间等占用公共消防通道、公共区域对外开展经营的场所等；</w:t>
      </w:r>
    </w:p>
    <w:p w14:paraId="66115731">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2.经营场所与住所不相独立的，如住宅公寓、仓库、生活住所的车库、地下室、储藏室等未对消费者全开放的场所等；</w:t>
      </w:r>
    </w:p>
    <w:p w14:paraId="6211E906">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3.经营场所基于安全因素不适宜经营卷烟的，包括但不限于生产、经营、储存有毒有害、易燃易爆、放射性、易挥发及具有刺激性气味等物品，容易造成烟草制品污染的油漆化工、农药化肥、烟花爆竹、机油制品等的场所（符合法定条件，具备安全保障措施的加油站、加气站便利店除外）。</w:t>
      </w:r>
    </w:p>
    <w:p w14:paraId="2015EF40">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（三）经营模式</w:t>
      </w:r>
    </w:p>
    <w:p w14:paraId="1BCFD376">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1.利用自动售货机或其他自动售货形式，销售或者变相销售烟草制品的（含无人现场值守的自助商店）；</w:t>
      </w:r>
    </w:p>
    <w:p w14:paraId="5A942E22">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2.利用信息网络渠道销售烟草制品的。</w:t>
      </w:r>
    </w:p>
    <w:p w14:paraId="3B39B61A">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（四）特殊区域</w:t>
      </w:r>
    </w:p>
    <w:p w14:paraId="182ABBED">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1.中小学、幼儿园内部及进出通道口100米范围内的；</w:t>
      </w:r>
    </w:p>
    <w:p w14:paraId="74C4E4A5">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2.党政机关内部的；</w:t>
      </w:r>
    </w:p>
    <w:p w14:paraId="49B1AE82">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3.医疗卫生机构内部的；</w:t>
      </w:r>
    </w:p>
    <w:p w14:paraId="33D4ACAF">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4.主营业务属于专业性较强、与烟草制品零售业务无直接或间接互补营销关系的经营业态，如母婴用品、文具、玩具、五金建材、建筑装潢、美容美发、化妆品店、药妆医械、中草药售卖、宠物店、文化体育用品、音像制品、家电家具、修理修配、洗涤护理、服装制售、鞋帽箱包、寄卖典当、古董店、汽车相关（维修、销售、美容等）、殡葬用品店、成人用品店等。</w:t>
      </w:r>
    </w:p>
    <w:p w14:paraId="30526D10">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5.法律、法规、规章和国家烟草专卖局规定的其他不予发证的情形，以及当地烟草专卖局依照规定设定的不予设置零售点的其他情形。</w:t>
      </w:r>
    </w:p>
    <w:p w14:paraId="3F4082BF">
      <w:pPr>
        <w:ind w:firstLine="643" w:firstLineChars="200"/>
        <w:jc w:val="both"/>
        <w:rPr>
          <w:rFonts w:hint="eastAsia" w:ascii="方正仿宋_GBK" w:hAnsi="方正仿宋_GBK" w:eastAsia="方正仿宋_GBK" w:cs="方正仿宋_GBK"/>
          <w:sz w:val="32"/>
          <w:szCs w:val="32"/>
          <w:lang w:val="en-US" w:eastAsia="zh-CN"/>
        </w:rPr>
      </w:pPr>
      <w:r>
        <w:rPr>
          <w:rFonts w:hint="eastAsia" w:ascii="仿宋_GB2312" w:hAnsi="仿宋_GB2312" w:eastAsia="仿宋_GB2312" w:cs="仿宋_GB2312"/>
          <w:b/>
          <w:bCs/>
          <w:sz w:val="32"/>
          <w:szCs w:val="32"/>
          <w:lang w:val="en-US" w:eastAsia="zh-CN"/>
        </w:rPr>
        <w:t xml:space="preserve">第十一条  </w:t>
      </w:r>
      <w:r>
        <w:rPr>
          <w:rFonts w:hint="eastAsia" w:ascii="仿宋_GB2312" w:eastAsia="仿宋_GB2312" w:cs="Times New Roman"/>
          <w:b w:val="0"/>
          <w:bCs w:val="0"/>
          <w:color w:val="auto"/>
          <w:sz w:val="32"/>
          <w:szCs w:val="32"/>
          <w:lang w:val="en-US" w:eastAsia="zh-CN"/>
        </w:rPr>
        <w:t>中小学校、幼儿园内部及周围100米范围内的零售点，烟草专卖零售许可证有效期届满后，不再延续。</w:t>
      </w:r>
    </w:p>
    <w:p w14:paraId="3E14DD98">
      <w:pPr>
        <w:jc w:val="center"/>
        <w:rPr>
          <w:rFonts w:hint="eastAsia" w:ascii="CESI黑体-GB2312" w:hAnsi="CESI黑体-GB2312" w:eastAsia="CESI黑体-GB2312" w:cs="CESI黑体-GB2312"/>
          <w:sz w:val="32"/>
          <w:szCs w:val="32"/>
          <w:lang w:eastAsia="zh-CN"/>
        </w:rPr>
      </w:pPr>
      <w:r>
        <w:rPr>
          <w:rFonts w:hint="eastAsia" w:ascii="CESI黑体-GB2312" w:hAnsi="CESI黑体-GB2312" w:eastAsia="CESI黑体-GB2312" w:cs="CESI黑体-GB2312"/>
          <w:sz w:val="32"/>
          <w:szCs w:val="32"/>
        </w:rPr>
        <w:t>第</w:t>
      </w:r>
      <w:r>
        <w:rPr>
          <w:rFonts w:hint="eastAsia" w:ascii="CESI黑体-GB2312" w:hAnsi="CESI黑体-GB2312" w:eastAsia="CESI黑体-GB2312" w:cs="CESI黑体-GB2312"/>
          <w:sz w:val="32"/>
          <w:szCs w:val="32"/>
          <w:lang w:eastAsia="zh-CN"/>
        </w:rPr>
        <w:t>四</w:t>
      </w:r>
      <w:r>
        <w:rPr>
          <w:rFonts w:hint="eastAsia" w:ascii="CESI黑体-GB2312" w:hAnsi="CESI黑体-GB2312" w:eastAsia="CESI黑体-GB2312" w:cs="CESI黑体-GB2312"/>
          <w:sz w:val="32"/>
          <w:szCs w:val="32"/>
        </w:rPr>
        <w:t>章</w:t>
      </w:r>
      <w:r>
        <w:rPr>
          <w:rFonts w:hint="eastAsia" w:ascii="CESI黑体-GB2312" w:hAnsi="CESI黑体-GB2312" w:eastAsia="CESI黑体-GB2312" w:cs="CESI黑体-GB2312"/>
          <w:sz w:val="32"/>
          <w:szCs w:val="32"/>
          <w:lang w:val="en-US" w:eastAsia="zh-CN"/>
        </w:rPr>
        <w:t xml:space="preserve">  </w:t>
      </w:r>
      <w:r>
        <w:rPr>
          <w:rFonts w:hint="eastAsia" w:ascii="CESI黑体-GB2312" w:hAnsi="CESI黑体-GB2312" w:eastAsia="CESI黑体-GB2312" w:cs="CESI黑体-GB2312"/>
          <w:sz w:val="32"/>
          <w:szCs w:val="32"/>
          <w:lang w:eastAsia="zh-CN"/>
        </w:rPr>
        <w:t>放宽政策</w:t>
      </w:r>
    </w:p>
    <w:p w14:paraId="29797A29">
      <w:pPr>
        <w:keepNext w:val="0"/>
        <w:keepLines w:val="0"/>
        <w:pageBreakBefore w:val="0"/>
        <w:kinsoku/>
        <w:wordWrap/>
        <w:overflowPunct/>
        <w:topLinePunct w:val="0"/>
        <w:autoSpaceDE/>
        <w:autoSpaceDN/>
        <w:bidi w:val="0"/>
        <w:adjustRightInd w:val="0"/>
        <w:snapToGrid/>
        <w:spacing w:line="240" w:lineRule="auto"/>
        <w:ind w:firstLine="643"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hAnsi="仿宋_GB2312" w:eastAsia="仿宋_GB2312" w:cs="仿宋_GB2312"/>
          <w:b/>
          <w:bCs/>
          <w:sz w:val="32"/>
          <w:szCs w:val="32"/>
          <w:lang w:val="en-US" w:eastAsia="zh-CN"/>
        </w:rPr>
        <w:t>第十二条</w:t>
      </w:r>
      <w:r>
        <w:rPr>
          <w:rFonts w:hint="eastAsia" w:ascii="仿宋_GB2312" w:eastAsia="仿宋_GB2312" w:cs="Times New Roman"/>
          <w:b w:val="0"/>
          <w:bCs w:val="0"/>
          <w:color w:val="auto"/>
          <w:sz w:val="32"/>
          <w:szCs w:val="32"/>
          <w:lang w:val="en-US" w:eastAsia="zh-CN"/>
        </w:rPr>
        <w:t>  符合下列情形之一的，不受所在市场单元数量、间距限制：</w:t>
      </w:r>
    </w:p>
    <w:p w14:paraId="4A4E6834">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（一）属于军烈属（含烈士遗属、因公牺牲军人遗属等）、残疾军人的个体工商户，本人首次申请办理烟草专卖零售许可证；</w:t>
      </w:r>
    </w:p>
    <w:p w14:paraId="309626E6">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（二）《警民共建、从优待警、惠警帮扶合作备忘录》《新疆维吾尔自治区烟草专卖局 自治区公安厅特侦队警民共建、从优待警、惠警帮扶合作备忘录》等制度规定的情形。</w:t>
      </w:r>
    </w:p>
    <w:p w14:paraId="3ADC1B57">
      <w:pPr>
        <w:keepNext w:val="0"/>
        <w:keepLines w:val="0"/>
        <w:pageBreakBefore w:val="0"/>
        <w:kinsoku/>
        <w:wordWrap/>
        <w:overflowPunct/>
        <w:topLinePunct w:val="0"/>
        <w:autoSpaceDE/>
        <w:autoSpaceDN/>
        <w:bidi w:val="0"/>
        <w:adjustRightInd w:val="0"/>
        <w:snapToGrid/>
        <w:spacing w:line="240" w:lineRule="auto"/>
        <w:ind w:firstLine="643" w:firstLineChars="200"/>
        <w:jc w:val="left"/>
        <w:textAlignment w:val="auto"/>
        <w:rPr>
          <w:rFonts w:hint="eastAsia" w:ascii="仿宋_GB2312" w:eastAsia="仿宋_GB2312" w:cs="Times New Roman"/>
          <w:b w:val="0"/>
          <w:bCs w:val="0"/>
          <w:color w:val="auto"/>
          <w:sz w:val="32"/>
          <w:szCs w:val="32"/>
          <w:lang w:val="en-US" w:eastAsia="zh-CN"/>
        </w:rPr>
      </w:pPr>
      <w:r>
        <w:rPr>
          <w:rFonts w:hint="eastAsia" w:ascii="仿宋_GB2312" w:hAnsi="仿宋_GB2312" w:eastAsia="仿宋_GB2312" w:cs="仿宋_GB2312"/>
          <w:b/>
          <w:bCs/>
          <w:sz w:val="32"/>
          <w:szCs w:val="32"/>
          <w:lang w:val="en-US" w:eastAsia="zh-CN"/>
        </w:rPr>
        <w:t>第十三条</w:t>
      </w:r>
      <w:r>
        <w:rPr>
          <w:rFonts w:hint="eastAsia" w:ascii="仿宋_GB2312" w:eastAsia="仿宋_GB2312" w:cs="Times New Roman"/>
          <w:b w:val="0"/>
          <w:bCs w:val="0"/>
          <w:color w:val="auto"/>
          <w:sz w:val="32"/>
          <w:szCs w:val="32"/>
          <w:lang w:val="en-US" w:eastAsia="zh-CN"/>
        </w:rPr>
        <w:t>  符合下列情形之一的且不违反本规划第八条的，受市场单元数量限制，间距放宽50%：</w:t>
      </w:r>
    </w:p>
    <w:p w14:paraId="2CB7D6C9">
      <w:pPr>
        <w:keepNext w:val="0"/>
        <w:keepLines w:val="0"/>
        <w:pageBreakBefore w:val="0"/>
        <w:kinsoku/>
        <w:wordWrap/>
        <w:overflowPunct/>
        <w:topLinePunct w:val="0"/>
        <w:autoSpaceDE/>
        <w:autoSpaceDN/>
        <w:bidi w:val="0"/>
        <w:adjustRightInd w:val="0"/>
        <w:snapToGrid/>
        <w:spacing w:line="240" w:lineRule="auto"/>
        <w:ind w:firstLine="640" w:firstLineChars="200"/>
        <w:jc w:val="left"/>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（一）持有三级以上（含三级）残疾人证（含听力残疾、言语残疾、视力残疾或肢体残疾）的个体工商户，首次申请领取烟草专卖零售许可证且本人使用的；</w:t>
      </w:r>
    </w:p>
    <w:p w14:paraId="284A7033">
      <w:pPr>
        <w:keepNext w:val="0"/>
        <w:keepLines w:val="0"/>
        <w:pageBreakBefore w:val="0"/>
        <w:kinsoku/>
        <w:wordWrap/>
        <w:overflowPunct/>
        <w:topLinePunct w:val="0"/>
        <w:autoSpaceDE/>
        <w:autoSpaceDN/>
        <w:bidi w:val="0"/>
        <w:adjustRightInd w:val="0"/>
        <w:snapToGrid/>
        <w:spacing w:line="240" w:lineRule="auto"/>
        <w:ind w:firstLine="640" w:firstLineChars="200"/>
        <w:jc w:val="left"/>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（二）持有本市户籍且两年内未落实就业的退役军人，本人首次申请办理烟草专卖零售许可证；</w:t>
      </w:r>
    </w:p>
    <w:p w14:paraId="0E8D5518">
      <w:pPr>
        <w:keepNext w:val="0"/>
        <w:keepLines w:val="0"/>
        <w:pageBreakBefore w:val="0"/>
        <w:kinsoku/>
        <w:wordWrap/>
        <w:overflowPunct/>
        <w:topLinePunct w:val="0"/>
        <w:autoSpaceDE/>
        <w:autoSpaceDN/>
        <w:bidi w:val="0"/>
        <w:adjustRightInd w:val="0"/>
        <w:snapToGrid/>
        <w:spacing w:line="240" w:lineRule="auto"/>
        <w:ind w:firstLine="640" w:firstLineChars="200"/>
        <w:jc w:val="left"/>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（三）国家或当地政府明文规定给予政策扶持并经属地烟草专卖局集体研究认为可以扶持照顾的对象，本人首次申请领取烟草专卖零售许可证且本人使用的。</w:t>
      </w:r>
    </w:p>
    <w:p w14:paraId="7AAB10EE">
      <w:pPr>
        <w:keepNext w:val="0"/>
        <w:keepLines w:val="0"/>
        <w:pageBreakBefore w:val="0"/>
        <w:kinsoku/>
        <w:wordWrap/>
        <w:overflowPunct/>
        <w:topLinePunct w:val="0"/>
        <w:autoSpaceDE/>
        <w:autoSpaceDN/>
        <w:bidi w:val="0"/>
        <w:adjustRightInd w:val="0"/>
        <w:snapToGrid/>
        <w:spacing w:line="240" w:lineRule="auto"/>
        <w:ind w:firstLine="643" w:firstLineChars="200"/>
        <w:jc w:val="left"/>
        <w:textAlignment w:val="auto"/>
        <w:rPr>
          <w:rFonts w:hint="eastAsia" w:ascii="仿宋_GB2312" w:eastAsia="仿宋_GB2312" w:cs="Times New Roman"/>
          <w:b w:val="0"/>
          <w:bCs w:val="0"/>
          <w:color w:val="auto"/>
          <w:sz w:val="32"/>
          <w:szCs w:val="32"/>
          <w:lang w:val="en-US" w:eastAsia="zh-CN"/>
        </w:rPr>
      </w:pPr>
      <w:r>
        <w:rPr>
          <w:rFonts w:hint="eastAsia" w:ascii="仿宋_GB2312" w:hAnsi="仿宋_GB2312" w:eastAsia="仿宋_GB2312" w:cs="仿宋_GB2312"/>
          <w:b/>
          <w:bCs/>
          <w:sz w:val="32"/>
          <w:szCs w:val="32"/>
          <w:lang w:val="en-US" w:eastAsia="zh-CN"/>
        </w:rPr>
        <w:t>第十四条</w:t>
      </w:r>
      <w:r>
        <w:rPr>
          <w:rFonts w:hint="eastAsia" w:ascii="仿宋_GB2312" w:eastAsia="仿宋_GB2312" w:cs="Times New Roman"/>
          <w:b w:val="0"/>
          <w:bCs w:val="0"/>
          <w:color w:val="auto"/>
          <w:sz w:val="32"/>
          <w:szCs w:val="32"/>
          <w:lang w:val="en-US" w:eastAsia="zh-CN"/>
        </w:rPr>
        <w:t>  符合下列情形之一的且不违反本规划第十条规定的，不受市场单元数量限制，间距放宽50%：</w:t>
      </w:r>
    </w:p>
    <w:p w14:paraId="6F3B5187">
      <w:pPr>
        <w:keepNext w:val="0"/>
        <w:keepLines w:val="0"/>
        <w:pageBreakBefore w:val="0"/>
        <w:kinsoku/>
        <w:wordWrap/>
        <w:overflowPunct/>
        <w:topLinePunct w:val="0"/>
        <w:autoSpaceDE/>
        <w:autoSpaceDN/>
        <w:bidi w:val="0"/>
        <w:adjustRightInd w:val="0"/>
        <w:snapToGrid/>
        <w:spacing w:line="240" w:lineRule="auto"/>
        <w:ind w:firstLine="640" w:firstLineChars="200"/>
        <w:jc w:val="left"/>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（一）因道路规划、城市建设、房屋征收等客观原因造成无法在核定经营场所经营，持证人在6个月内申请变更到原发证机关辖区内其他地址经营的；</w:t>
      </w:r>
    </w:p>
    <w:p w14:paraId="0D0653AC">
      <w:pPr>
        <w:keepNext w:val="0"/>
        <w:keepLines w:val="0"/>
        <w:pageBreakBefore w:val="0"/>
        <w:kinsoku/>
        <w:wordWrap/>
        <w:overflowPunct/>
        <w:topLinePunct w:val="0"/>
        <w:autoSpaceDE/>
        <w:autoSpaceDN/>
        <w:bidi w:val="0"/>
        <w:adjustRightInd w:val="0"/>
        <w:snapToGrid/>
        <w:spacing w:line="240" w:lineRule="auto"/>
        <w:ind w:firstLine="640" w:firstLineChars="200"/>
        <w:jc w:val="left"/>
        <w:textAlignment w:val="auto"/>
        <w:rPr>
          <w:rFonts w:hint="eastAsia" w:ascii="仿宋_GB2312" w:eastAsia="仿宋_GB2312" w:cs="Times New Roman"/>
          <w:b w:val="0"/>
          <w:bCs w:val="0"/>
          <w:color w:val="auto"/>
          <w:sz w:val="32"/>
          <w:szCs w:val="32"/>
          <w:lang w:val="en-US" w:eastAsia="zh-CN"/>
        </w:rPr>
      </w:pPr>
      <w:r>
        <w:rPr>
          <w:rFonts w:hint="eastAsia" w:ascii="仿宋_GB2312" w:eastAsia="仿宋_GB2312" w:cs="Times New Roman"/>
          <w:b w:val="0"/>
          <w:bCs w:val="0"/>
          <w:color w:val="auto"/>
          <w:sz w:val="32"/>
          <w:szCs w:val="32"/>
          <w:lang w:val="en-US" w:eastAsia="zh-CN"/>
        </w:rPr>
        <w:t>（二）因中小学、幼儿园新建、改造导致的先店后校、先店后门等情况，以及合理布局规划修订等客观原因造成零售点不符合相关要求的，持证人在6个月内申请变更到原发证机关辖区内其他地址经营的；</w:t>
      </w:r>
    </w:p>
    <w:p w14:paraId="23CDD01F">
      <w:pPr>
        <w:ind w:firstLine="640" w:firstLineChars="200"/>
        <w:jc w:val="both"/>
        <w:rPr>
          <w:rFonts w:hint="eastAsia" w:ascii="CESI黑体-GB2312" w:hAnsi="CESI黑体-GB2312" w:eastAsia="CESI黑体-GB2312" w:cs="CESI黑体-GB2312"/>
          <w:sz w:val="32"/>
          <w:szCs w:val="32"/>
          <w:lang w:val="en-US" w:eastAsia="zh-CN"/>
        </w:rPr>
      </w:pPr>
      <w:r>
        <w:rPr>
          <w:rFonts w:hint="eastAsia" w:ascii="仿宋_GB2312" w:eastAsia="仿宋_GB2312" w:cs="Times New Roman"/>
          <w:b w:val="0"/>
          <w:bCs w:val="0"/>
          <w:color w:val="auto"/>
          <w:sz w:val="32"/>
          <w:szCs w:val="32"/>
          <w:lang w:val="en-US" w:eastAsia="zh-CN"/>
        </w:rPr>
        <w:t>（三）非家庭经营的持证个体工商户，两年内无涉烟违法记录，因持证人死亡或者丧失民事行为能力，烟草专卖零售许可证被依法注销后30个自然日内，原持证人的家庭成员（具有完全民事行为能力的配偶、父母或子女）申请在原经营场所申请新办烟草专卖零售许可证的。</w:t>
      </w:r>
    </w:p>
    <w:p w14:paraId="5E26BB50">
      <w:pPr>
        <w:jc w:val="center"/>
        <w:rPr>
          <w:rFonts w:hint="eastAsia" w:ascii="CESI黑体-GB2312" w:hAnsi="CESI黑体-GB2312" w:eastAsia="CESI黑体-GB2312" w:cs="CESI黑体-GB2312"/>
          <w:sz w:val="32"/>
          <w:szCs w:val="32"/>
          <w:lang w:eastAsia="zh-CN"/>
        </w:rPr>
      </w:pPr>
      <w:r>
        <w:rPr>
          <w:rFonts w:hint="eastAsia" w:ascii="CESI黑体-GB2312" w:hAnsi="CESI黑体-GB2312" w:eastAsia="CESI黑体-GB2312" w:cs="CESI黑体-GB2312"/>
          <w:sz w:val="32"/>
          <w:szCs w:val="32"/>
        </w:rPr>
        <w:t>第</w:t>
      </w:r>
      <w:r>
        <w:rPr>
          <w:rFonts w:hint="eastAsia" w:ascii="CESI黑体-GB2312" w:hAnsi="CESI黑体-GB2312" w:eastAsia="CESI黑体-GB2312" w:cs="CESI黑体-GB2312"/>
          <w:sz w:val="32"/>
          <w:szCs w:val="32"/>
          <w:lang w:eastAsia="zh-CN"/>
        </w:rPr>
        <w:t>五</w:t>
      </w:r>
      <w:r>
        <w:rPr>
          <w:rFonts w:hint="eastAsia" w:ascii="CESI黑体-GB2312" w:hAnsi="CESI黑体-GB2312" w:eastAsia="CESI黑体-GB2312" w:cs="CESI黑体-GB2312"/>
          <w:sz w:val="32"/>
          <w:szCs w:val="32"/>
        </w:rPr>
        <w:t>章</w:t>
      </w:r>
      <w:r>
        <w:rPr>
          <w:rFonts w:hint="eastAsia" w:ascii="CESI黑体-GB2312" w:hAnsi="CESI黑体-GB2312" w:eastAsia="CESI黑体-GB2312" w:cs="CESI黑体-GB2312"/>
          <w:sz w:val="32"/>
          <w:szCs w:val="32"/>
          <w:lang w:val="en-US" w:eastAsia="zh-CN"/>
        </w:rPr>
        <w:t xml:space="preserve"> </w:t>
      </w:r>
      <w:r>
        <w:rPr>
          <w:rFonts w:hint="eastAsia" w:ascii="黑体" w:hAnsi="宋体" w:eastAsia="黑体" w:cs="黑体"/>
          <w:color w:val="000000"/>
          <w:kern w:val="0"/>
          <w:sz w:val="31"/>
          <w:szCs w:val="31"/>
          <w:lang w:val="en-US" w:eastAsia="zh-CN" w:bidi="ar"/>
        </w:rPr>
        <w:t>雪茄烟专营店布局标准</w:t>
      </w:r>
    </w:p>
    <w:p w14:paraId="47C5414C">
      <w:pPr>
        <w:keepNext w:val="0"/>
        <w:keepLines w:val="0"/>
        <w:pageBreakBefore w:val="0"/>
        <w:kinsoku/>
        <w:wordWrap/>
        <w:overflowPunct/>
        <w:topLinePunct w:val="0"/>
        <w:autoSpaceDE/>
        <w:autoSpaceDN/>
        <w:bidi w:val="0"/>
        <w:adjustRightInd/>
        <w:snapToGrid/>
        <w:spacing w:line="240" w:lineRule="auto"/>
        <w:ind w:left="0" w:firstLine="643"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第十五条</w:t>
      </w:r>
      <w:r>
        <w:rPr>
          <w:rFonts w:hint="eastAsia" w:ascii="方正仿宋_GBK" w:hAnsi="方正仿宋_GBK" w:eastAsia="方正仿宋_GBK" w:cs="方正仿宋_GBK"/>
          <w:sz w:val="32"/>
          <w:szCs w:val="32"/>
          <w:lang w:val="en-US" w:eastAsia="zh-CN"/>
        </w:rPr>
        <w:t> </w:t>
      </w:r>
      <w:r>
        <w:rPr>
          <w:rFonts w:hint="eastAsia" w:ascii="仿宋_GB2312" w:hAnsi="仿宋_GB2312" w:eastAsia="仿宋_GB2312" w:cs="仿宋_GB2312"/>
          <w:b w:val="0"/>
          <w:bCs w:val="0"/>
          <w:sz w:val="32"/>
          <w:szCs w:val="32"/>
          <w:lang w:val="en-US" w:eastAsia="zh-CN"/>
        </w:rPr>
        <w:t>雪茄烟专营店设置</w:t>
      </w:r>
    </w:p>
    <w:p w14:paraId="7D679287">
      <w:pPr>
        <w:keepNext w:val="0"/>
        <w:keepLines w:val="0"/>
        <w:pageBreakBefore w:val="0"/>
        <w:kinsoku/>
        <w:wordWrap/>
        <w:overflowPunct/>
        <w:topLinePunct w:val="0"/>
        <w:autoSpaceDE/>
        <w:autoSpaceDN/>
        <w:bidi w:val="0"/>
        <w:adjustRightInd/>
        <w:snapToGrid/>
        <w:spacing w:line="240" w:lineRule="auto"/>
        <w:ind w:left="0" w:firstLine="640" w:firstLineChars="200"/>
        <w:jc w:val="left"/>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申请烟草专卖零售许可范围仅为“雪茄烟本店零售”的零售点，不划定市场单元，不受间距限制，采取数量限制模式。雪茄烟专营店指导数量，不超过上一年度本辖区全部烟草制品零售点总数的千分之十；申请设立雪茄烟专营店，应当遵守本规划第十条不予设置零售点的相关规定。</w:t>
      </w:r>
    </w:p>
    <w:p w14:paraId="1CDEE2F3">
      <w:pPr>
        <w:keepNext w:val="0"/>
        <w:keepLines w:val="0"/>
        <w:pageBreakBefore w:val="0"/>
        <w:kinsoku/>
        <w:wordWrap/>
        <w:overflowPunct/>
        <w:topLinePunct w:val="0"/>
        <w:autoSpaceDE/>
        <w:autoSpaceDN/>
        <w:bidi w:val="0"/>
        <w:adjustRightInd/>
        <w:snapToGrid/>
        <w:spacing w:line="240" w:lineRule="auto"/>
        <w:ind w:left="0" w:firstLine="640" w:firstLineChars="200"/>
        <w:jc w:val="left"/>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雪茄烟专营店申请增加或调整为</w:t>
      </w:r>
      <w:r>
        <w:rPr>
          <w:rFonts w:hint="eastAsia" w:ascii="仿宋_GB2312" w:eastAsia="仿宋_GB2312"/>
          <w:b w:val="0"/>
          <w:bCs w:val="0"/>
          <w:color w:val="auto"/>
          <w:sz w:val="32"/>
          <w:szCs w:val="32"/>
        </w:rPr>
        <w:t>卷烟本店零售</w:t>
      </w:r>
      <w:r>
        <w:rPr>
          <w:rFonts w:hint="eastAsia" w:ascii="仿宋_GB2312" w:hAnsi="仿宋_GB2312" w:eastAsia="仿宋_GB2312" w:cs="仿宋_GB2312"/>
          <w:b w:val="0"/>
          <w:color w:val="auto"/>
          <w:sz w:val="32"/>
          <w:highlight w:val="none"/>
          <w:lang w:val="en-US" w:eastAsia="zh-CN"/>
        </w:rPr>
        <w:t>的，应申请变更许可范围，且需符合卷烟零售点布局规划要求。</w:t>
      </w:r>
    </w:p>
    <w:p w14:paraId="0C53F49A">
      <w:pPr>
        <w:keepNext w:val="0"/>
        <w:keepLines w:val="0"/>
        <w:pageBreakBefore w:val="0"/>
        <w:kinsoku/>
        <w:wordWrap/>
        <w:overflowPunct/>
        <w:topLinePunct w:val="0"/>
        <w:autoSpaceDE/>
        <w:autoSpaceDN/>
        <w:bidi w:val="0"/>
        <w:adjustRightInd/>
        <w:snapToGrid/>
        <w:spacing w:line="240" w:lineRule="auto"/>
        <w:ind w:left="0" w:firstLine="640" w:firstLineChars="200"/>
        <w:jc w:val="left"/>
        <w:textAlignment w:val="auto"/>
        <w:rPr>
          <w:rFonts w:hint="eastAsia" w:ascii="仿宋_GB2312" w:hAnsi="微软雅黑" w:eastAsia="仿宋_GB2312" w:cs="仿宋_GB2312"/>
          <w:b w:val="0"/>
          <w:bCs w:val="0"/>
          <w:i w:val="0"/>
          <w:iCs w:val="0"/>
          <w:caps w:val="0"/>
          <w:color w:val="auto"/>
          <w:spacing w:val="0"/>
          <w:sz w:val="32"/>
          <w:szCs w:val="32"/>
          <w:highlight w:val="none"/>
          <w:shd w:val="clear" w:color="auto" w:fill="FFFFFF"/>
          <w:lang w:eastAsia="zh-CN"/>
        </w:rPr>
      </w:pPr>
      <w:r>
        <w:rPr>
          <w:rFonts w:hint="eastAsia" w:ascii="方正仿宋_GBK" w:hAnsi="方正仿宋_GBK" w:eastAsia="方正仿宋_GBK" w:cs="方正仿宋_GBK"/>
          <w:sz w:val="32"/>
          <w:szCs w:val="32"/>
          <w:lang w:val="en-US" w:eastAsia="zh-CN"/>
        </w:rPr>
        <w:t>雪茄烟专营店与普通卷烟零售点之间，相互不作为零售点间距测算、容量数量核算的参照。</w:t>
      </w:r>
    </w:p>
    <w:p w14:paraId="033CFFD5">
      <w:pPr>
        <w:ind w:firstLine="643" w:firstLineChars="200"/>
        <w:rPr>
          <w:rFonts w:hint="eastAsia" w:ascii="方正仿宋_GBK" w:hAnsi="方正仿宋_GBK" w:eastAsia="方正仿宋_GBK" w:cs="方正仿宋_GBK"/>
          <w:sz w:val="32"/>
          <w:szCs w:val="32"/>
          <w:lang w:val="en-US" w:eastAsia="zh-CN"/>
        </w:rPr>
      </w:pPr>
      <w:r>
        <w:rPr>
          <w:rFonts w:hint="eastAsia" w:ascii="仿宋_GB2312" w:hAnsi="仿宋_GB2312" w:eastAsia="仿宋_GB2312" w:cs="仿宋_GB2312"/>
          <w:b/>
          <w:bCs/>
          <w:kern w:val="0"/>
          <w:sz w:val="32"/>
          <w:szCs w:val="32"/>
          <w:lang w:val="en-US" w:eastAsia="zh-CN" w:bidi="ar-SA"/>
        </w:rPr>
        <w:t>第十六条</w:t>
      </w:r>
      <w:r>
        <w:rPr>
          <w:rFonts w:hint="eastAsia" w:ascii="仿宋_GB2312" w:hAnsi="微软雅黑" w:eastAsia="仿宋_GB2312" w:cs="仿宋_GB2312"/>
          <w:b w:val="0"/>
          <w:bCs w:val="0"/>
          <w:i w:val="0"/>
          <w:iCs w:val="0"/>
          <w:caps w:val="0"/>
          <w:color w:val="auto"/>
          <w:spacing w:val="0"/>
          <w:sz w:val="32"/>
          <w:szCs w:val="32"/>
          <w:highlight w:val="none"/>
          <w:shd w:val="clear" w:color="auto" w:fill="FFFFFF"/>
          <w:lang w:val="en-US" w:eastAsia="zh-CN"/>
        </w:rPr>
        <w:t>  4A级以上旅游景区、商业综合体、酒店、交通枢纽等独立封闭消费单元内部，最多设置2个雪茄烟专营店，不计入辖区雪茄烟专营店总量限额。</w:t>
      </w:r>
    </w:p>
    <w:p w14:paraId="0BE0B475">
      <w:pPr>
        <w:jc w:val="center"/>
        <w:rPr>
          <w:rFonts w:hint="eastAsia" w:ascii="方正仿宋_GBK" w:hAnsi="方正仿宋_GBK" w:eastAsia="方正仿宋_GBK" w:cs="方正仿宋_GBK"/>
          <w:sz w:val="32"/>
          <w:szCs w:val="32"/>
        </w:rPr>
      </w:pPr>
      <w:r>
        <w:rPr>
          <w:rFonts w:hint="eastAsia" w:ascii="CESI黑体-GB2312" w:hAnsi="CESI黑体-GB2312" w:eastAsia="CESI黑体-GB2312" w:cs="CESI黑体-GB2312"/>
          <w:sz w:val="32"/>
          <w:szCs w:val="32"/>
        </w:rPr>
        <w:t>第六章 附则</w:t>
      </w:r>
    </w:p>
    <w:p w14:paraId="509D85B9">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240" w:lineRule="auto"/>
        <w:ind w:firstLine="643" w:firstLineChars="200"/>
        <w:jc w:val="both"/>
        <w:textAlignment w:val="auto"/>
        <w:rPr>
          <w:rFonts w:hint="eastAsia" w:ascii="仿宋_GB2312" w:eastAsia="仿宋_GB2312"/>
          <w:b/>
          <w:bCs/>
          <w:color w:val="auto"/>
          <w:sz w:val="32"/>
          <w:szCs w:val="32"/>
        </w:rPr>
      </w:pPr>
      <w:r>
        <w:rPr>
          <w:rFonts w:hint="eastAsia" w:ascii="仿宋_GB2312" w:eastAsia="仿宋_GB2312"/>
          <w:b/>
          <w:bCs/>
          <w:color w:val="auto"/>
          <w:sz w:val="32"/>
          <w:szCs w:val="32"/>
        </w:rPr>
        <w:t>第十</w:t>
      </w:r>
      <w:r>
        <w:rPr>
          <w:rFonts w:hint="eastAsia" w:ascii="仿宋_GB2312" w:eastAsia="仿宋_GB2312"/>
          <w:b/>
          <w:bCs/>
          <w:color w:val="auto"/>
          <w:sz w:val="32"/>
          <w:szCs w:val="32"/>
          <w:lang w:eastAsia="zh-CN"/>
        </w:rPr>
        <w:t>七</w:t>
      </w:r>
      <w:r>
        <w:rPr>
          <w:rFonts w:hint="eastAsia" w:ascii="仿宋_GB2312" w:eastAsia="仿宋_GB2312"/>
          <w:b/>
          <w:bCs/>
          <w:color w:val="auto"/>
          <w:sz w:val="32"/>
          <w:szCs w:val="32"/>
        </w:rPr>
        <w:t>条  术语定义</w:t>
      </w:r>
    </w:p>
    <w:p w14:paraId="6EB10457">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一）社区市场单元。社区市场单元指由县级及以上人民政府部门依据法定标准以居民委员会实际管辖区域为基础划定的区域。城乡结合部、乡（镇）政府驻地、行政（自然）村（连队）等区域，经属地街道办事处或乡镇人民政府认定属于社区服务管理体系的，纳入社区市场单元管理。</w:t>
      </w:r>
    </w:p>
    <w:p w14:paraId="632DCB36">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（二）行政（自然）村（连队）市场单元。行政（自然）村（连队）市场单元指依据县级人民政府部门依法划定的村民委员会法定管辖区域，或经属地乡镇人民政府确认并纳入统一管理的自然村落区域。</w:t>
      </w:r>
    </w:p>
    <w:p w14:paraId="504E67E2">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（三）特殊区域市场单元。特殊区域市场单元指具备独特市场生态、特定消费人群的区域，如集贸市场、交通枢纽、旅游景区、工矿区等。特殊区域市场单元需经上级主管部门批准方可单独划定。</w:t>
      </w:r>
    </w:p>
    <w:p w14:paraId="62E57065">
      <w:pPr>
        <w:keepNext w:val="0"/>
        <w:keepLines w:val="0"/>
        <w:pageBreakBefore w:val="0"/>
        <w:kinsoku/>
        <w:wordWrap/>
        <w:overflowPunct/>
        <w:topLinePunct w:val="0"/>
        <w:autoSpaceDE/>
        <w:autoSpaceDN/>
        <w:bidi w:val="0"/>
        <w:adjustRightInd w:val="0"/>
        <w:snapToGrid/>
        <w:spacing w:line="240" w:lineRule="auto"/>
        <w:ind w:firstLine="640" w:firstLineChars="200"/>
        <w:jc w:val="both"/>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四）本规划所称“间距”，分为两类：一是申请点出入口边界与现有零售点出入口边界之间的距离；二是申请点边界与中小学校、幼儿园进出通道口（含正门、侧门、后门、边门、消防通道出入口）边界之间的距离。</w:t>
      </w:r>
    </w:p>
    <w:p w14:paraId="7BB0D6C2">
      <w:pPr>
        <w:keepNext w:val="0"/>
        <w:keepLines w:val="0"/>
        <w:pageBreakBefore w:val="0"/>
        <w:kinsoku/>
        <w:wordWrap/>
        <w:overflowPunct/>
        <w:topLinePunct w:val="0"/>
        <w:autoSpaceDE/>
        <w:autoSpaceDN/>
        <w:bidi w:val="0"/>
        <w:snapToGrid/>
        <w:spacing w:line="240" w:lineRule="auto"/>
        <w:ind w:firstLine="640" w:firstLineChars="200"/>
        <w:jc w:val="both"/>
        <w:textAlignment w:val="auto"/>
        <w:rPr>
          <w:rFonts w:hint="default" w:ascii="仿宋_GB2312" w:hAnsi="宋体" w:eastAsia="仿宋_GB2312" w:cs="Arial"/>
          <w:b w:val="0"/>
          <w:bCs w:val="0"/>
          <w:color w:val="auto"/>
          <w:sz w:val="32"/>
          <w:szCs w:val="32"/>
          <w:lang w:val="en-US" w:eastAsia="zh-CN"/>
        </w:rPr>
      </w:pPr>
      <w:r>
        <w:rPr>
          <w:rFonts w:hint="eastAsia" w:ascii="仿宋_GB2312" w:hAnsi="宋体" w:eastAsia="仿宋_GB2312" w:cs="Arial"/>
          <w:b w:val="0"/>
          <w:bCs w:val="0"/>
          <w:color w:val="auto"/>
          <w:sz w:val="32"/>
          <w:szCs w:val="32"/>
          <w:lang w:eastAsia="zh-CN"/>
        </w:rPr>
        <w:t>（五）</w:t>
      </w:r>
      <w:r>
        <w:rPr>
          <w:rFonts w:hint="eastAsia" w:ascii="仿宋_GB2312" w:hAnsi="宋体" w:eastAsia="仿宋_GB2312" w:cs="Arial"/>
          <w:b w:val="0"/>
          <w:bCs w:val="0"/>
          <w:color w:val="auto"/>
          <w:sz w:val="32"/>
          <w:szCs w:val="32"/>
          <w:lang w:val="en-US" w:eastAsia="zh-CN"/>
        </w:rPr>
        <w:t>本规划所称“</w:t>
      </w:r>
      <w:r>
        <w:rPr>
          <w:rFonts w:hint="eastAsia" w:ascii="仿宋_GB2312" w:hAnsi="宋体" w:eastAsia="仿宋_GB2312" w:cs="Arial"/>
          <w:b w:val="0"/>
          <w:bCs w:val="0"/>
          <w:color w:val="auto"/>
          <w:sz w:val="32"/>
          <w:szCs w:val="32"/>
          <w:lang w:eastAsia="zh-CN"/>
        </w:rPr>
        <w:t>中小学校、幼儿园</w:t>
      </w:r>
      <w:r>
        <w:rPr>
          <w:rFonts w:hint="eastAsia" w:ascii="仿宋_GB2312" w:hAnsi="宋体" w:eastAsia="仿宋_GB2312" w:cs="Arial"/>
          <w:b w:val="0"/>
          <w:bCs w:val="0"/>
          <w:color w:val="auto"/>
          <w:sz w:val="32"/>
          <w:szCs w:val="32"/>
          <w:lang w:val="en-US" w:eastAsia="zh-CN"/>
        </w:rPr>
        <w:t>”是指普通中小学、特殊教育学校、有未成年人就读的中等职业学校以及幼儿园，并在当地教育行政主管部门核准登记目录内的中小学校、幼儿园。</w:t>
      </w:r>
      <w:r>
        <w:rPr>
          <w:rFonts w:hint="eastAsia" w:ascii="方正仿宋_GBK" w:hAnsi="方正仿宋_GBK" w:eastAsia="方正仿宋_GBK" w:cs="方正仿宋_GBK"/>
          <w:sz w:val="32"/>
          <w:szCs w:val="32"/>
          <w:lang w:val="en-US" w:eastAsia="zh-CN"/>
        </w:rPr>
        <w:t>上述间距均为不违反交通规则前提下，可无障碍通行的最短实际通行距离。</w:t>
      </w:r>
    </w:p>
    <w:p w14:paraId="4D0E2A9D">
      <w:pPr>
        <w:keepNext w:val="0"/>
        <w:keepLines w:val="0"/>
        <w:pageBreakBefore w:val="0"/>
        <w:kinsoku/>
        <w:wordWrap/>
        <w:overflowPunct/>
        <w:topLinePunct w:val="0"/>
        <w:autoSpaceDE/>
        <w:autoSpaceDN/>
        <w:bidi w:val="0"/>
        <w:snapToGrid/>
        <w:spacing w:line="240" w:lineRule="auto"/>
        <w:ind w:firstLine="640" w:firstLineChars="200"/>
        <w:jc w:val="both"/>
        <w:textAlignment w:val="auto"/>
        <w:rPr>
          <w:rFonts w:hint="eastAsia" w:ascii="仿宋_GB2312" w:eastAsia="仿宋_GB2312"/>
          <w:b w:val="0"/>
          <w:bCs w:val="0"/>
          <w:color w:val="auto"/>
          <w:sz w:val="32"/>
          <w:szCs w:val="32"/>
          <w:lang w:eastAsia="zh-CN"/>
        </w:rPr>
      </w:pPr>
      <w:r>
        <w:rPr>
          <w:rFonts w:hint="eastAsia" w:ascii="仿宋_GB2312" w:hAnsi="宋体" w:eastAsia="仿宋_GB2312" w:cs="Arial"/>
          <w:b w:val="0"/>
          <w:bCs w:val="0"/>
          <w:color w:val="auto"/>
          <w:sz w:val="32"/>
          <w:szCs w:val="32"/>
          <w:lang w:eastAsia="zh-CN"/>
        </w:rPr>
        <w:t>（六）</w:t>
      </w:r>
      <w:r>
        <w:rPr>
          <w:rFonts w:hint="eastAsia" w:ascii="仿宋_GB2312" w:hAnsi="宋体" w:eastAsia="仿宋_GB2312" w:cs="Arial"/>
          <w:b w:val="0"/>
          <w:bCs w:val="0"/>
          <w:color w:val="auto"/>
          <w:sz w:val="32"/>
          <w:szCs w:val="32"/>
        </w:rPr>
        <w:t>本规划所称</w:t>
      </w:r>
      <w:r>
        <w:rPr>
          <w:rFonts w:hint="eastAsia" w:ascii="仿宋_GB2312" w:hAnsi="宋体" w:eastAsia="仿宋_GB2312" w:cs="Arial"/>
          <w:b w:val="0"/>
          <w:bCs w:val="0"/>
          <w:color w:val="auto"/>
          <w:sz w:val="32"/>
          <w:szCs w:val="32"/>
          <w:lang w:eastAsia="zh-CN"/>
        </w:rPr>
        <w:t>的</w:t>
      </w:r>
      <w:r>
        <w:rPr>
          <w:rFonts w:hint="eastAsia" w:ascii="仿宋_GB2312" w:hAnsi="仿宋_GB2312" w:eastAsia="仿宋_GB2312" w:cs="仿宋_GB2312"/>
          <w:sz w:val="32"/>
          <w:szCs w:val="32"/>
        </w:rPr>
        <w:t>经营场所是指面向消费者全开放，用于烟草制品及其他商品销售、仓储的合法经营用房。</w:t>
      </w:r>
      <w:r>
        <w:rPr>
          <w:rFonts w:hint="eastAsia" w:ascii="仿宋_GB2312" w:hAnsi="宋体" w:eastAsia="仿宋_GB2312" w:cs="Arial"/>
          <w:b w:val="0"/>
          <w:bCs w:val="0"/>
          <w:color w:val="auto"/>
          <w:sz w:val="32"/>
          <w:szCs w:val="32"/>
          <w:lang w:eastAsia="zh-CN"/>
        </w:rPr>
        <w:t>营业面积，</w:t>
      </w:r>
      <w:r>
        <w:rPr>
          <w:rFonts w:hint="eastAsia" w:ascii="仿宋_GB2312" w:hAnsi="宋体" w:eastAsia="仿宋_GB2312" w:cs="Arial"/>
          <w:b w:val="0"/>
          <w:bCs w:val="0"/>
          <w:color w:val="auto"/>
          <w:sz w:val="32"/>
          <w:szCs w:val="32"/>
          <w:lang w:val="en-US" w:eastAsia="zh-CN"/>
        </w:rPr>
        <w:t>以实地实际测量面积为准，</w:t>
      </w:r>
      <w:r>
        <w:rPr>
          <w:rFonts w:hint="eastAsia" w:ascii="仿宋_GB2312" w:hAnsi="宋体" w:eastAsia="仿宋_GB2312" w:cs="Arial"/>
          <w:b w:val="0"/>
          <w:bCs w:val="0"/>
          <w:color w:val="auto"/>
          <w:sz w:val="32"/>
          <w:szCs w:val="32"/>
          <w:lang w:eastAsia="zh-CN"/>
        </w:rPr>
        <w:t>原则上</w:t>
      </w:r>
      <w:r>
        <w:rPr>
          <w:rFonts w:hint="eastAsia" w:ascii="仿宋_GB2312" w:hAnsi="Times New Roman" w:eastAsia="仿宋_GB2312"/>
          <w:b w:val="0"/>
          <w:bCs w:val="0"/>
          <w:color w:val="auto"/>
          <w:sz w:val="32"/>
          <w:szCs w:val="32"/>
        </w:rPr>
        <w:t>应</w:t>
      </w:r>
      <w:r>
        <w:rPr>
          <w:rFonts w:hint="eastAsia" w:ascii="仿宋_GB2312" w:hAnsi="Times New Roman" w:eastAsia="仿宋_GB2312"/>
          <w:b w:val="0"/>
          <w:bCs w:val="0"/>
          <w:color w:val="auto"/>
          <w:sz w:val="32"/>
          <w:szCs w:val="32"/>
          <w:lang w:eastAsia="zh-CN"/>
        </w:rPr>
        <w:t>当</w:t>
      </w:r>
      <w:r>
        <w:rPr>
          <w:rFonts w:hint="eastAsia" w:ascii="仿宋_GB2312" w:hAnsi="Times New Roman" w:eastAsia="仿宋_GB2312"/>
          <w:b w:val="0"/>
          <w:bCs w:val="0"/>
          <w:color w:val="auto"/>
          <w:sz w:val="32"/>
          <w:szCs w:val="32"/>
        </w:rPr>
        <w:t>为平层全开放式门店</w:t>
      </w:r>
      <w:r>
        <w:rPr>
          <w:rFonts w:hint="eastAsia" w:ascii="仿宋_GB2312" w:hAnsi="Times New Roman" w:eastAsia="仿宋_GB2312"/>
          <w:b w:val="0"/>
          <w:bCs w:val="0"/>
          <w:color w:val="auto"/>
          <w:sz w:val="32"/>
          <w:szCs w:val="32"/>
          <w:lang w:eastAsia="zh-CN"/>
        </w:rPr>
        <w:t>（</w:t>
      </w:r>
      <w:r>
        <w:rPr>
          <w:rFonts w:hint="eastAsia" w:ascii="仿宋_GB2312" w:eastAsia="仿宋_GB2312"/>
          <w:b w:val="0"/>
          <w:bCs w:val="0"/>
          <w:color w:val="auto"/>
          <w:sz w:val="32"/>
          <w:szCs w:val="32"/>
        </w:rPr>
        <w:t>实际经营面积达到</w:t>
      </w:r>
      <w:r>
        <w:rPr>
          <w:rFonts w:hint="eastAsia" w:ascii="仿宋_GB2312" w:eastAsia="仿宋_GB2312"/>
          <w:b w:val="0"/>
          <w:bCs w:val="0"/>
          <w:color w:val="auto"/>
          <w:sz w:val="32"/>
          <w:szCs w:val="32"/>
          <w:lang w:val="en-US" w:eastAsia="zh-CN"/>
        </w:rPr>
        <w:t>20</w:t>
      </w:r>
      <w:r>
        <w:rPr>
          <w:rFonts w:hint="eastAsia" w:ascii="仿宋_GB2312" w:eastAsia="仿宋_GB2312"/>
          <w:b w:val="0"/>
          <w:bCs w:val="0"/>
          <w:color w:val="auto"/>
          <w:sz w:val="32"/>
          <w:szCs w:val="32"/>
        </w:rPr>
        <w:t>00平方米的超市、</w:t>
      </w:r>
      <w:r>
        <w:rPr>
          <w:rFonts w:hint="eastAsia" w:ascii="仿宋_GB2312" w:eastAsia="仿宋_GB2312"/>
          <w:b w:val="0"/>
          <w:bCs w:val="0"/>
          <w:color w:val="auto"/>
          <w:sz w:val="32"/>
          <w:szCs w:val="32"/>
          <w:lang w:val="en-US" w:eastAsia="zh-CN"/>
        </w:rPr>
        <w:t>6</w:t>
      </w:r>
      <w:r>
        <w:rPr>
          <w:rFonts w:hint="eastAsia" w:ascii="仿宋_GB2312" w:eastAsia="仿宋_GB2312"/>
          <w:b w:val="0"/>
          <w:bCs w:val="0"/>
          <w:color w:val="auto"/>
          <w:sz w:val="32"/>
          <w:szCs w:val="32"/>
        </w:rPr>
        <w:t>000平方米的商场</w:t>
      </w:r>
      <w:r>
        <w:rPr>
          <w:rFonts w:hint="eastAsia" w:ascii="仿宋_GB2312" w:eastAsia="仿宋_GB2312"/>
          <w:b w:val="0"/>
          <w:bCs w:val="0"/>
          <w:color w:val="auto"/>
          <w:sz w:val="32"/>
          <w:szCs w:val="32"/>
          <w:lang w:eastAsia="zh-CN"/>
        </w:rPr>
        <w:t>除外）。</w:t>
      </w:r>
    </w:p>
    <w:p w14:paraId="728A13FA">
      <w:pPr>
        <w:ind w:firstLine="640" w:firstLineChars="200"/>
        <w:jc w:val="both"/>
        <w:rPr>
          <w:rFonts w:hint="eastAsia" w:ascii="方正仿宋_GBK" w:hAnsi="方正仿宋_GBK" w:eastAsia="方正仿宋_GBK" w:cs="方正仿宋_GBK"/>
          <w:sz w:val="32"/>
          <w:szCs w:val="32"/>
          <w:lang w:val="en-US" w:eastAsia="zh-CN"/>
        </w:rPr>
      </w:pPr>
      <w:r>
        <w:rPr>
          <w:rFonts w:hint="eastAsia" w:ascii="仿宋_GB2312" w:hAnsi="宋体" w:eastAsia="仿宋_GB2312" w:cs="Arial"/>
          <w:b w:val="0"/>
          <w:bCs w:val="0"/>
          <w:color w:val="auto"/>
          <w:sz w:val="32"/>
          <w:szCs w:val="32"/>
          <w:lang w:eastAsia="zh-CN"/>
        </w:rPr>
        <w:t>（七）自动售货机(柜)指无人服务、贩售，主要依靠消费者自助进行选择、结算、提货等一系列操作的机器、柜台等;以及无法核验未成年人身份、缺少管控措施限制未成年人购烟的无人超市、无人便利店及自助商铺。</w:t>
      </w:r>
    </w:p>
    <w:p w14:paraId="0840D83E">
      <w:pPr>
        <w:ind w:firstLine="643" w:firstLineChars="200"/>
        <w:jc w:val="both"/>
        <w:rPr>
          <w:rFonts w:hint="eastAsia" w:ascii="方正仿宋_GBK" w:hAnsi="方正仿宋_GBK" w:eastAsia="方正仿宋_GBK" w:cs="方正仿宋_GBK"/>
          <w:sz w:val="32"/>
          <w:szCs w:val="32"/>
          <w:lang w:val="en-US" w:eastAsia="zh-CN"/>
        </w:rPr>
      </w:pPr>
      <w:r>
        <w:rPr>
          <w:rFonts w:hint="eastAsia" w:ascii="仿宋_GB2312" w:eastAsia="仿宋_GB2312"/>
          <w:b/>
          <w:bCs/>
          <w:color w:val="auto"/>
          <w:sz w:val="32"/>
          <w:szCs w:val="32"/>
        </w:rPr>
        <w:t>第</w:t>
      </w:r>
      <w:r>
        <w:rPr>
          <w:rFonts w:hint="eastAsia" w:ascii="仿宋_GB2312" w:eastAsia="仿宋_GB2312"/>
          <w:b/>
          <w:bCs/>
          <w:color w:val="auto"/>
          <w:sz w:val="32"/>
          <w:szCs w:val="32"/>
          <w:lang w:eastAsia="zh-CN"/>
        </w:rPr>
        <w:t>十八</w:t>
      </w:r>
      <w:r>
        <w:rPr>
          <w:rFonts w:hint="eastAsia" w:ascii="仿宋_GB2312" w:eastAsia="仿宋_GB2312"/>
          <w:b/>
          <w:bCs/>
          <w:color w:val="auto"/>
          <w:sz w:val="32"/>
          <w:szCs w:val="32"/>
        </w:rPr>
        <w:t xml:space="preserve">条  </w:t>
      </w:r>
      <w:r>
        <w:rPr>
          <w:rFonts w:hint="eastAsia" w:ascii="仿宋_GB2312" w:hAnsi="宋体" w:eastAsia="仿宋_GB2312" w:cs="Arial"/>
          <w:b w:val="0"/>
          <w:bCs w:val="0"/>
          <w:color w:val="auto"/>
          <w:sz w:val="32"/>
          <w:szCs w:val="32"/>
        </w:rPr>
        <w:t>本规划所称“以下”、“</w:t>
      </w:r>
      <w:r>
        <w:rPr>
          <w:rFonts w:hint="eastAsia" w:ascii="仿宋_GB2312" w:eastAsia="仿宋_GB2312"/>
          <w:b w:val="0"/>
          <w:bCs w:val="0"/>
          <w:color w:val="auto"/>
          <w:sz w:val="32"/>
          <w:szCs w:val="32"/>
        </w:rPr>
        <w:t>以上</w:t>
      </w:r>
      <w:r>
        <w:rPr>
          <w:rFonts w:hint="eastAsia" w:ascii="仿宋_GB2312" w:hAnsi="宋体" w:eastAsia="仿宋_GB2312" w:cs="Arial"/>
          <w:b w:val="0"/>
          <w:bCs w:val="0"/>
          <w:color w:val="auto"/>
          <w:sz w:val="32"/>
          <w:szCs w:val="32"/>
        </w:rPr>
        <w:t>”、“不小于”、“范围内”均包含本数。</w:t>
      </w:r>
    </w:p>
    <w:p w14:paraId="648D87FD">
      <w:pPr>
        <w:ind w:firstLine="643" w:firstLineChars="200"/>
        <w:jc w:val="both"/>
        <w:rPr>
          <w:rFonts w:hint="eastAsia" w:ascii="方正仿宋_GBK" w:hAnsi="方正仿宋_GBK" w:eastAsia="方正仿宋_GBK" w:cs="方正仿宋_GBK"/>
          <w:sz w:val="32"/>
          <w:szCs w:val="32"/>
          <w:lang w:val="en-US" w:eastAsia="zh-CN"/>
        </w:rPr>
      </w:pPr>
      <w:r>
        <w:rPr>
          <w:rFonts w:hint="eastAsia" w:ascii="仿宋_GB2312" w:eastAsia="仿宋_GB2312"/>
          <w:b/>
          <w:bCs/>
          <w:color w:val="auto"/>
          <w:sz w:val="32"/>
          <w:szCs w:val="32"/>
        </w:rPr>
        <w:t>第</w:t>
      </w:r>
      <w:r>
        <w:rPr>
          <w:rFonts w:hint="eastAsia" w:ascii="仿宋_GB2312" w:eastAsia="仿宋_GB2312"/>
          <w:b/>
          <w:bCs/>
          <w:color w:val="auto"/>
          <w:sz w:val="32"/>
          <w:szCs w:val="32"/>
          <w:lang w:eastAsia="zh-CN"/>
        </w:rPr>
        <w:t>十九</w:t>
      </w:r>
      <w:r>
        <w:rPr>
          <w:rFonts w:hint="eastAsia" w:ascii="仿宋_GB2312" w:eastAsia="仿宋_GB2312"/>
          <w:b/>
          <w:bCs/>
          <w:color w:val="auto"/>
          <w:sz w:val="32"/>
          <w:szCs w:val="32"/>
        </w:rPr>
        <w:t xml:space="preserve">条 </w:t>
      </w:r>
      <w:r>
        <w:rPr>
          <w:rFonts w:hint="eastAsia" w:ascii="仿宋_GB2312" w:eastAsia="仿宋_GB2312"/>
          <w:b/>
          <w:bCs/>
          <w:color w:val="auto"/>
          <w:sz w:val="32"/>
          <w:szCs w:val="32"/>
          <w:lang w:val="en-US" w:eastAsia="zh-CN"/>
        </w:rPr>
        <w:t xml:space="preserve"> </w:t>
      </w:r>
      <w:r>
        <w:rPr>
          <w:rFonts w:hint="eastAsia" w:ascii="仿宋_GB2312" w:hAnsi="宋体" w:eastAsia="仿宋_GB2312" w:cs="Arial"/>
          <w:b w:val="0"/>
          <w:bCs w:val="0"/>
          <w:color w:val="auto"/>
          <w:sz w:val="32"/>
          <w:szCs w:val="32"/>
        </w:rPr>
        <w:t>本规划由</w:t>
      </w:r>
      <w:r>
        <w:rPr>
          <w:rFonts w:hint="eastAsia" w:ascii="仿宋_GB2312" w:hAnsi="宋体" w:eastAsia="仿宋_GB2312" w:cs="Arial"/>
          <w:b w:val="0"/>
          <w:bCs w:val="0"/>
          <w:color w:val="auto"/>
          <w:sz w:val="32"/>
          <w:szCs w:val="32"/>
          <w:lang w:eastAsia="zh-CN"/>
        </w:rPr>
        <w:t>克拉玛依市白碱滩</w:t>
      </w:r>
      <w:r>
        <w:rPr>
          <w:rFonts w:hint="eastAsia" w:ascii="仿宋_GB2312" w:hAnsi="宋体" w:eastAsia="仿宋_GB2312" w:cs="Arial"/>
          <w:b w:val="0"/>
          <w:bCs w:val="0"/>
          <w:color w:val="auto"/>
          <w:sz w:val="32"/>
          <w:szCs w:val="32"/>
        </w:rPr>
        <w:t>区烟草专卖局负责解释。</w:t>
      </w:r>
      <w:r>
        <w:rPr>
          <w:rFonts w:hint="eastAsia" w:ascii="仿宋_GB2312" w:eastAsia="仿宋_GB2312"/>
          <w:b w:val="0"/>
          <w:bCs w:val="0"/>
          <w:color w:val="auto"/>
          <w:sz w:val="32"/>
          <w:szCs w:val="32"/>
        </w:rPr>
        <w:t>本规划实施过程中，法律、法规、规章和政策性规定对零售点布局另有规定的，从其规定。</w:t>
      </w:r>
    </w:p>
    <w:p w14:paraId="56AE55A4">
      <w:pPr>
        <w:ind w:firstLine="643" w:firstLineChars="200"/>
        <w:jc w:val="both"/>
        <w:rPr>
          <w:rFonts w:hint="eastAsia" w:ascii="方正仿宋_GBK" w:hAnsi="方正仿宋_GBK" w:eastAsia="方正仿宋_GBK" w:cs="方正仿宋_GBK"/>
          <w:sz w:val="32"/>
          <w:szCs w:val="32"/>
          <w:lang w:val="en-US" w:eastAsia="zh-CN"/>
        </w:rPr>
      </w:pPr>
      <w:r>
        <w:rPr>
          <w:rFonts w:hint="eastAsia" w:ascii="仿宋_GB2312" w:eastAsia="仿宋_GB2312"/>
          <w:b/>
          <w:bCs/>
          <w:color w:val="auto"/>
          <w:sz w:val="32"/>
          <w:szCs w:val="32"/>
        </w:rPr>
        <w:t>第</w:t>
      </w:r>
      <w:r>
        <w:rPr>
          <w:rFonts w:hint="eastAsia" w:ascii="仿宋_GB2312" w:eastAsia="仿宋_GB2312"/>
          <w:b/>
          <w:bCs/>
          <w:color w:val="auto"/>
          <w:sz w:val="32"/>
          <w:szCs w:val="32"/>
          <w:lang w:eastAsia="zh-CN"/>
        </w:rPr>
        <w:t>二十</w:t>
      </w:r>
      <w:r>
        <w:rPr>
          <w:rFonts w:hint="eastAsia" w:ascii="仿宋_GB2312" w:eastAsia="仿宋_GB2312"/>
          <w:b/>
          <w:bCs/>
          <w:color w:val="auto"/>
          <w:sz w:val="32"/>
          <w:szCs w:val="32"/>
        </w:rPr>
        <w:t xml:space="preserve">条 </w:t>
      </w:r>
      <w:r>
        <w:rPr>
          <w:rFonts w:hint="eastAsia" w:ascii="仿宋_GB2312" w:eastAsia="仿宋_GB2312"/>
          <w:b/>
          <w:bCs/>
          <w:color w:val="auto"/>
          <w:sz w:val="32"/>
          <w:szCs w:val="32"/>
          <w:lang w:val="en-US" w:eastAsia="zh-CN"/>
        </w:rPr>
        <w:t xml:space="preserve"> </w:t>
      </w:r>
      <w:r>
        <w:rPr>
          <w:rFonts w:hint="eastAsia" w:ascii="仿宋_GB2312" w:hAnsi="宋体" w:eastAsia="仿宋_GB2312" w:cs="Arial"/>
          <w:b w:val="0"/>
          <w:bCs w:val="0"/>
          <w:color w:val="auto"/>
          <w:sz w:val="32"/>
          <w:szCs w:val="32"/>
        </w:rPr>
        <w:t>本规划自公布之日起30日后施行。原《克拉玛依市</w:t>
      </w:r>
      <w:r>
        <w:rPr>
          <w:rFonts w:hint="eastAsia" w:ascii="仿宋_GB2312" w:hAnsi="宋体" w:eastAsia="仿宋_GB2312" w:cs="Arial"/>
          <w:b w:val="0"/>
          <w:bCs w:val="0"/>
          <w:color w:val="auto"/>
          <w:sz w:val="32"/>
          <w:szCs w:val="32"/>
          <w:lang w:eastAsia="zh-CN"/>
        </w:rPr>
        <w:t>白碱滩</w:t>
      </w:r>
      <w:r>
        <w:rPr>
          <w:rFonts w:hint="eastAsia" w:ascii="仿宋_GB2312" w:hAnsi="宋体" w:eastAsia="仿宋_GB2312" w:cs="Arial"/>
          <w:b w:val="0"/>
          <w:bCs w:val="0"/>
          <w:color w:val="auto"/>
          <w:sz w:val="32"/>
          <w:szCs w:val="32"/>
        </w:rPr>
        <w:t>区烟草制品零售点合理布局规划（2021版）》同时废止。</w:t>
      </w:r>
    </w:p>
    <w:p w14:paraId="2D2FC067">
      <w:pPr>
        <w:rPr>
          <w:rFonts w:hint="eastAsia" w:ascii="方正仿宋_GBK" w:hAnsi="方正仿宋_GBK" w:eastAsia="方正仿宋_GBK" w:cs="方正仿宋_GBK"/>
          <w:sz w:val="32"/>
          <w:szCs w:val="32"/>
        </w:rPr>
      </w:pPr>
    </w:p>
    <w:sectPr>
      <w:footerReference r:id="rId3" w:type="default"/>
      <w:pgSz w:w="11906" w:h="16838"/>
      <w:pgMar w:top="2154" w:right="1531" w:bottom="204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44DD57A-6468-46EA-94D9-A9AC7DBA0C4B}"/>
  </w:font>
  <w:font w:name="黑体">
    <w:panose1 w:val="02010609060101010101"/>
    <w:charset w:val="86"/>
    <w:family w:val="auto"/>
    <w:pitch w:val="default"/>
    <w:sig w:usb0="800002BF" w:usb1="38CF7CFA" w:usb2="00000016" w:usb3="00000000" w:csb0="00040001" w:csb1="00000000"/>
    <w:embedRegular r:id="rId2" w:fontKey="{8A759671-293A-4F4D-A919-70C2AA83A82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2F733E89-165E-415E-9714-72E864C9D632}"/>
  </w:font>
  <w:font w:name="方正小标宋简体">
    <w:panose1 w:val="02000000000000000000"/>
    <w:charset w:val="86"/>
    <w:family w:val="auto"/>
    <w:pitch w:val="default"/>
    <w:sig w:usb0="00000001" w:usb1="08000000" w:usb2="00000000" w:usb3="00000000" w:csb0="00040000" w:csb1="00000000"/>
    <w:embedRegular r:id="rId4" w:fontKey="{139E015F-7A3A-467B-B797-8F098F505CBA}"/>
  </w:font>
  <w:font w:name="方正仿宋_GBK">
    <w:panose1 w:val="02000000000000000000"/>
    <w:charset w:val="86"/>
    <w:family w:val="auto"/>
    <w:pitch w:val="default"/>
    <w:sig w:usb0="A00002BF" w:usb1="38CF7CFA" w:usb2="00082016" w:usb3="00000000" w:csb0="00040001" w:csb1="00000000"/>
    <w:embedRegular r:id="rId5" w:fontKey="{4ADA86B7-F1BA-4B5E-A434-A9BC71041344}"/>
  </w:font>
  <w:font w:name="CESI黑体-GB2312">
    <w:altName w:val="黑体"/>
    <w:panose1 w:val="02000500000000000000"/>
    <w:charset w:val="86"/>
    <w:family w:val="auto"/>
    <w:pitch w:val="default"/>
    <w:sig w:usb0="00000000" w:usb1="00000000" w:usb2="00000012" w:usb3="00000000" w:csb0="0004000F" w:csb1="00000000"/>
    <w:embedRegular r:id="rId6" w:fontKey="{D04AD2BC-CD73-40C0-AC8C-162377FA9B46}"/>
  </w:font>
  <w:font w:name="楷体_GB2312">
    <w:altName w:val="楷体"/>
    <w:panose1 w:val="02010609030101010101"/>
    <w:charset w:val="00"/>
    <w:family w:val="modern"/>
    <w:pitch w:val="default"/>
    <w:sig w:usb0="00000000" w:usb1="00000000" w:usb2="00000000" w:usb3="00000000" w:csb0="00040000" w:csb1="00000000"/>
    <w:embedRegular r:id="rId7" w:fontKey="{AF42F730-FFFA-4EE2-9336-25FC81A6ED34}"/>
  </w:font>
  <w:font w:name="方正楷体_GBK">
    <w:panose1 w:val="02000000000000000000"/>
    <w:charset w:val="86"/>
    <w:family w:val="auto"/>
    <w:pitch w:val="default"/>
    <w:sig w:usb0="800002BF" w:usb1="38CF7CFA" w:usb2="00000016" w:usb3="00000000" w:csb0="00040000" w:csb1="00000000"/>
  </w:font>
  <w:font w:name="仿宋_GB2312">
    <w:panose1 w:val="02010609030101010101"/>
    <w:charset w:val="86"/>
    <w:family w:val="auto"/>
    <w:pitch w:val="default"/>
    <w:sig w:usb0="00000001" w:usb1="080E0000" w:usb2="00000000" w:usb3="00000000" w:csb0="00040000" w:csb1="00000000"/>
    <w:embedRegular r:id="rId8" w:fontKey="{11CB9F3E-5BBD-4EBD-BBAE-3F031211E7B5}"/>
  </w:font>
  <w:font w:name="楷体">
    <w:panose1 w:val="02010609060101010101"/>
    <w:charset w:val="86"/>
    <w:family w:val="auto"/>
    <w:pitch w:val="default"/>
    <w:sig w:usb0="800002BF" w:usb1="38CF7CFA" w:usb2="00000016" w:usb3="00000000" w:csb0="00040001" w:csb1="00000000"/>
    <w:embedRegular r:id="rId9" w:fontKey="{FCB4BAF8-863D-48D5-996E-C6F9502BD0E4}"/>
  </w:font>
  <w:font w:name="微软雅黑">
    <w:panose1 w:val="020B0503020204020204"/>
    <w:charset w:val="86"/>
    <w:family w:val="auto"/>
    <w:pitch w:val="default"/>
    <w:sig w:usb0="80000287" w:usb1="2ACF3C50" w:usb2="00000016" w:usb3="00000000" w:csb0="0004001F" w:csb1="00000000"/>
    <w:embedRegular r:id="rId10" w:fontKey="{B48CB0CB-4007-4542-8E0F-C153DEDCC493}"/>
  </w:font>
  <w:font w:name="KSOFF9CBECC6">
    <w:panose1 w:val="02010609060101010101"/>
    <w:charset w:val="86"/>
    <w:family w:val="auto"/>
    <w:pitch w:val="default"/>
    <w:sig w:usb0="00000001" w:usb1="00000000" w:usb2="00000000" w:usb3="00000000" w:csb0="00040001" w:csb1="00000000"/>
  </w:font>
  <w:font w:name="KSOFBDAA233C">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543A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B83DD3">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AB83DD3">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D0486"/>
    <w:rsid w:val="069F02B8"/>
    <w:rsid w:val="103BF42E"/>
    <w:rsid w:val="1FCD6068"/>
    <w:rsid w:val="231FAB3C"/>
    <w:rsid w:val="26DF9A98"/>
    <w:rsid w:val="2A694ED1"/>
    <w:rsid w:val="33B53FA0"/>
    <w:rsid w:val="33DE7F7A"/>
    <w:rsid w:val="357A41DC"/>
    <w:rsid w:val="367EB622"/>
    <w:rsid w:val="3B5E8175"/>
    <w:rsid w:val="3BF7949B"/>
    <w:rsid w:val="3BFF4570"/>
    <w:rsid w:val="3CCD0726"/>
    <w:rsid w:val="3D762E56"/>
    <w:rsid w:val="3DEC60C7"/>
    <w:rsid w:val="3DFAD657"/>
    <w:rsid w:val="3DFB1EA1"/>
    <w:rsid w:val="3E5F8613"/>
    <w:rsid w:val="3F8F68C4"/>
    <w:rsid w:val="3FBA52A6"/>
    <w:rsid w:val="3FBF749D"/>
    <w:rsid w:val="3FE71271"/>
    <w:rsid w:val="3FF012FA"/>
    <w:rsid w:val="46F766BC"/>
    <w:rsid w:val="49FF1A44"/>
    <w:rsid w:val="4B6F6D35"/>
    <w:rsid w:val="4C7B797C"/>
    <w:rsid w:val="55DB4D10"/>
    <w:rsid w:val="56B706EE"/>
    <w:rsid w:val="58FBE989"/>
    <w:rsid w:val="59E71B0E"/>
    <w:rsid w:val="5BFD47B7"/>
    <w:rsid w:val="5CAD1D91"/>
    <w:rsid w:val="5CFF990A"/>
    <w:rsid w:val="5DC734C4"/>
    <w:rsid w:val="5EBF499D"/>
    <w:rsid w:val="5F3FA0BF"/>
    <w:rsid w:val="5F7B24A1"/>
    <w:rsid w:val="5FBDE814"/>
    <w:rsid w:val="5FC3D2EA"/>
    <w:rsid w:val="5FCDDFD0"/>
    <w:rsid w:val="5FF61D59"/>
    <w:rsid w:val="5FFE2061"/>
    <w:rsid w:val="5FFFA9F5"/>
    <w:rsid w:val="5FFFFA46"/>
    <w:rsid w:val="636F0B0A"/>
    <w:rsid w:val="63D91A83"/>
    <w:rsid w:val="63DED43F"/>
    <w:rsid w:val="64AFC57A"/>
    <w:rsid w:val="67FB08AF"/>
    <w:rsid w:val="6DF6DD80"/>
    <w:rsid w:val="6F8D11AF"/>
    <w:rsid w:val="6FBC8EFF"/>
    <w:rsid w:val="6FD9394E"/>
    <w:rsid w:val="73FF4368"/>
    <w:rsid w:val="74F7F008"/>
    <w:rsid w:val="765F26A7"/>
    <w:rsid w:val="76CC2750"/>
    <w:rsid w:val="76FCB3EB"/>
    <w:rsid w:val="76FDE4EC"/>
    <w:rsid w:val="76FE5125"/>
    <w:rsid w:val="777F463C"/>
    <w:rsid w:val="77FF8945"/>
    <w:rsid w:val="79BB55ED"/>
    <w:rsid w:val="7AABA8F1"/>
    <w:rsid w:val="7AEF5D30"/>
    <w:rsid w:val="7AF4619E"/>
    <w:rsid w:val="7BF77265"/>
    <w:rsid w:val="7BFE5E09"/>
    <w:rsid w:val="7D3787C6"/>
    <w:rsid w:val="7D776F3F"/>
    <w:rsid w:val="7DFFEC21"/>
    <w:rsid w:val="7E8F6C8F"/>
    <w:rsid w:val="7EAF2EC1"/>
    <w:rsid w:val="7EDB87BC"/>
    <w:rsid w:val="7EE1D0E4"/>
    <w:rsid w:val="7EE79756"/>
    <w:rsid w:val="7F659AC1"/>
    <w:rsid w:val="7F73068B"/>
    <w:rsid w:val="7F7B3235"/>
    <w:rsid w:val="7FC9F339"/>
    <w:rsid w:val="7FDA7971"/>
    <w:rsid w:val="7FEF1498"/>
    <w:rsid w:val="7FEF4B25"/>
    <w:rsid w:val="7FF38AD2"/>
    <w:rsid w:val="7FFA0C10"/>
    <w:rsid w:val="7FFD3927"/>
    <w:rsid w:val="7FFDE8BE"/>
    <w:rsid w:val="7FFF69EB"/>
    <w:rsid w:val="8EDA52F1"/>
    <w:rsid w:val="9EFFD900"/>
    <w:rsid w:val="9FFCC95F"/>
    <w:rsid w:val="A6AF5E24"/>
    <w:rsid w:val="A7BFD482"/>
    <w:rsid w:val="A9F27BAC"/>
    <w:rsid w:val="ADFF6607"/>
    <w:rsid w:val="AFD60863"/>
    <w:rsid w:val="AFF50AA4"/>
    <w:rsid w:val="AFFFE17F"/>
    <w:rsid w:val="B59FACAA"/>
    <w:rsid w:val="B72F474B"/>
    <w:rsid w:val="B7FD2102"/>
    <w:rsid w:val="B947445C"/>
    <w:rsid w:val="BBB69209"/>
    <w:rsid w:val="BBFF3FD2"/>
    <w:rsid w:val="BEDEEBB0"/>
    <w:rsid w:val="BF27AFE9"/>
    <w:rsid w:val="BFEE82ED"/>
    <w:rsid w:val="BFFB4023"/>
    <w:rsid w:val="BFFC054A"/>
    <w:rsid w:val="CA7FE09E"/>
    <w:rsid w:val="CFF39F66"/>
    <w:rsid w:val="D9CB6E79"/>
    <w:rsid w:val="DBED8D31"/>
    <w:rsid w:val="DCDBC7AB"/>
    <w:rsid w:val="DEBAF50A"/>
    <w:rsid w:val="DEEF180A"/>
    <w:rsid w:val="DF9D86ED"/>
    <w:rsid w:val="DFDE2664"/>
    <w:rsid w:val="E3975724"/>
    <w:rsid w:val="E4FF0341"/>
    <w:rsid w:val="E83C6F06"/>
    <w:rsid w:val="EF26BE4C"/>
    <w:rsid w:val="EFBBC08D"/>
    <w:rsid w:val="EFF7786E"/>
    <w:rsid w:val="F1FBFE78"/>
    <w:rsid w:val="F51F006B"/>
    <w:rsid w:val="F57D97D4"/>
    <w:rsid w:val="F6A76C44"/>
    <w:rsid w:val="F73F9C6C"/>
    <w:rsid w:val="F7CFBE37"/>
    <w:rsid w:val="F7F7D769"/>
    <w:rsid w:val="F82F55DD"/>
    <w:rsid w:val="F90F95EE"/>
    <w:rsid w:val="FA5F327D"/>
    <w:rsid w:val="FA7FF6F9"/>
    <w:rsid w:val="FAE8965A"/>
    <w:rsid w:val="FB2825F3"/>
    <w:rsid w:val="FBBB89B5"/>
    <w:rsid w:val="FBCEEEBF"/>
    <w:rsid w:val="FBF39E2D"/>
    <w:rsid w:val="FBF50067"/>
    <w:rsid w:val="FBFD1168"/>
    <w:rsid w:val="FC17D9C1"/>
    <w:rsid w:val="FC3B5284"/>
    <w:rsid w:val="FD2ED527"/>
    <w:rsid w:val="FD6DCF7C"/>
    <w:rsid w:val="FDD39773"/>
    <w:rsid w:val="FDDFD9AF"/>
    <w:rsid w:val="FDE60EE3"/>
    <w:rsid w:val="FDE7092B"/>
    <w:rsid w:val="FDF7C434"/>
    <w:rsid w:val="FEEBD5AB"/>
    <w:rsid w:val="FF76BD2A"/>
    <w:rsid w:val="FF7B6D84"/>
    <w:rsid w:val="FF9BD87A"/>
    <w:rsid w:val="FFA76E2B"/>
    <w:rsid w:val="FFBFBFDE"/>
    <w:rsid w:val="FFBFF58B"/>
    <w:rsid w:val="FFE38E4F"/>
    <w:rsid w:val="FFF3D452"/>
    <w:rsid w:val="FFF9C041"/>
    <w:rsid w:val="FFFD96AA"/>
    <w:rsid w:val="FFFF3E3F"/>
    <w:rsid w:val="FFFFBA8C"/>
    <w:rsid w:val="FFFFDC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5202</Words>
  <Characters>5300</Characters>
  <Lines>0</Lines>
  <Paragraphs>0</Paragraphs>
  <TotalTime>18</TotalTime>
  <ScaleCrop>false</ScaleCrop>
  <LinksUpToDate>false</LinksUpToDate>
  <CharactersWithSpaces>5342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2026-09-29T18:46:00Z</dcterms:created>
  <dc:creator>Data</dc:creator>
  <cp:lastModifiedBy>WPS_1742273123</cp:lastModifiedBy>
  <dcterms:modified xsi:type="dcterms:W3CDTF">2026-10-10T15:30:54Z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3803CF708E8ACF76F4EEC96AC98E49D3_43</vt:lpwstr>
  </property>
  <property fmtid="{D5CDD505-2E9C-101B-9397-08002B2CF9AE}" pid="4" name="KSOTemplateDocerSaveRecord">
    <vt:lpwstr>eyJoZGlkIjoiYTRmN2UyN2EzZDRlZGY2ZThjZmZjODAzMDAyOWE1OTUiLCJ1c2VySWQiOiIxNjg4NTcxODg5In0=</vt:lpwstr>
  </property>
</Properties>
</file>